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4B" w:rsidRPr="00C7094B" w:rsidRDefault="00C7094B" w:rsidP="00C7094B">
      <w:pPr>
        <w:jc w:val="center"/>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FF"/>
          <w:sz w:val="28"/>
          <w:szCs w:val="28"/>
          <w:lang w:val="es-CO" w:eastAsia="es-ES_tradnl"/>
        </w:rPr>
        <w:t>OFICIO Nº 261 [006471]</w:t>
      </w:r>
    </w:p>
    <w:p w:rsidR="00C7094B" w:rsidRPr="00C7094B" w:rsidRDefault="00C7094B" w:rsidP="00C7094B">
      <w:pPr>
        <w:jc w:val="center"/>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FF"/>
          <w:sz w:val="28"/>
          <w:szCs w:val="28"/>
          <w:lang w:val="es-CO" w:eastAsia="es-ES_tradnl"/>
        </w:rPr>
        <w:t>14-03-2019</w:t>
      </w:r>
    </w:p>
    <w:p w:rsidR="00C7094B" w:rsidRPr="00C7094B" w:rsidRDefault="00C7094B" w:rsidP="00C7094B">
      <w:pPr>
        <w:jc w:val="center"/>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FF"/>
          <w:sz w:val="28"/>
          <w:szCs w:val="28"/>
          <w:lang w:val="es-CO" w:eastAsia="es-ES_tradnl"/>
        </w:rPr>
        <w:t>DIAN</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FF"/>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FF"/>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Dirección de Gestión Jurídica</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100202208 – 0261</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Bogotá, D.C.</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Ref: </w:t>
      </w:r>
      <w:r w:rsidRPr="00C7094B">
        <w:rPr>
          <w:rFonts w:ascii="Segoe UI" w:eastAsia="Times New Roman" w:hAnsi="Segoe UI" w:cs="Segoe UI"/>
          <w:color w:val="000000"/>
          <w:sz w:val="18"/>
          <w:szCs w:val="18"/>
          <w:lang w:val="es-CO" w:eastAsia="es-ES_tradnl"/>
        </w:rPr>
        <w:t>Radicados 100081889 del 10 de diciembre de dos mil dieciocho (2018) y 000461 del 21 de diciembre de dos mil dieciocho (2018).</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873"/>
        <w:gridCol w:w="272"/>
        <w:gridCol w:w="272"/>
        <w:gridCol w:w="5620"/>
      </w:tblGrid>
      <w:tr w:rsidR="00C7094B" w:rsidRPr="00C7094B" w:rsidTr="00C7094B">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Impuesto sobre la Renta y Complementarios</w:t>
            </w:r>
          </w:p>
        </w:tc>
      </w:tr>
      <w:tr w:rsidR="00C7094B" w:rsidRPr="00C7094B" w:rsidTr="00C7094B">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AUTORRETENCIÓN</w:t>
            </w:r>
          </w:p>
        </w:tc>
      </w:tr>
      <w:tr w:rsidR="00C7094B" w:rsidRPr="00C7094B" w:rsidTr="00C7094B">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7094B" w:rsidRPr="00C7094B" w:rsidRDefault="003603BF" w:rsidP="00C7094B">
            <w:pPr>
              <w:jc w:val="both"/>
              <w:rPr>
                <w:rFonts w:ascii="Arial" w:eastAsia="Times New Roman" w:hAnsi="Arial" w:cs="Arial"/>
                <w:lang w:val="es-CO" w:eastAsia="es-ES_tradnl"/>
              </w:rPr>
            </w:pPr>
            <w:hyperlink r:id="rId4" w:tooltip="Estatuto Tributario CETA" w:history="1">
              <w:r w:rsidR="00C7094B" w:rsidRPr="00C7094B">
                <w:rPr>
                  <w:rFonts w:ascii="Segoe UI" w:eastAsia="Times New Roman" w:hAnsi="Segoe UI" w:cs="Segoe UI"/>
                  <w:color w:val="0089E1"/>
                  <w:sz w:val="20"/>
                  <w:szCs w:val="20"/>
                  <w:u w:val="single"/>
                  <w:lang w:val="es-CO" w:eastAsia="es-ES_tradnl"/>
                </w:rPr>
                <w:t>Artículo 288</w:t>
              </w:r>
            </w:hyperlink>
            <w:r w:rsidR="00C7094B" w:rsidRPr="00C7094B">
              <w:rPr>
                <w:rFonts w:ascii="Segoe UI" w:eastAsia="Times New Roman" w:hAnsi="Segoe UI" w:cs="Segoe UI"/>
                <w:sz w:val="20"/>
                <w:szCs w:val="20"/>
                <w:lang w:val="es-CO" w:eastAsia="es-ES_tradnl"/>
              </w:rPr>
              <w:t> del Estatuto Tributario</w:t>
            </w:r>
          </w:p>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Artículos 1.2.6.6., 1.2.6.7 y 1.2.6.8 del Decreto 1625 de 2016</w:t>
            </w:r>
          </w:p>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Oficio No. 002035 de 2018</w:t>
            </w:r>
          </w:p>
          <w:p w:rsidR="00C7094B" w:rsidRPr="00C7094B" w:rsidRDefault="00C7094B" w:rsidP="00C7094B">
            <w:pPr>
              <w:jc w:val="both"/>
              <w:rPr>
                <w:rFonts w:ascii="Arial" w:eastAsia="Times New Roman" w:hAnsi="Arial" w:cs="Arial"/>
                <w:lang w:val="es-CO" w:eastAsia="es-ES_tradnl"/>
              </w:rPr>
            </w:pPr>
            <w:r w:rsidRPr="00C7094B">
              <w:rPr>
                <w:rFonts w:ascii="Segoe UI" w:eastAsia="Times New Roman" w:hAnsi="Segoe UI" w:cs="Segoe UI"/>
                <w:sz w:val="20"/>
                <w:szCs w:val="20"/>
                <w:lang w:val="es-CO" w:eastAsia="es-ES_tradnl"/>
              </w:rPr>
              <w:t>Oficio No. 001600 de 2018</w:t>
            </w:r>
          </w:p>
        </w:tc>
      </w:tr>
    </w:tbl>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Estimado señor Gómez:</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De conformidad con lo preceptuado en el artículo 19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Mediante escritos radicados 100081889 del 10 de diciembre de dos mil dieciocho (2018) y 000461 del 21 de diciembre de dos mil dieciocho (2018) está Dirección recibió las consultas por medio de las que se solicitó ampliar (aclarar)/reconsiderar el Concepto No. 002035 del 19 de noviembre de 2018 (el documento correspondiente es el Oficio No. 002035 de 2018) y el 34641 del 14 de diciembre de 2018 (el documento correspondiente es el Oficio No. 001606) relacionados con la autorretención sobre ajustes por la diferencia en cambio para las entidades financieras.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En atención a la consulta, se procede a aclarar las siguientes consideraciones tributarias: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1. </w:t>
      </w:r>
      <w:r w:rsidRPr="00C7094B">
        <w:rPr>
          <w:rFonts w:ascii="Segoe UI" w:eastAsia="Times New Roman" w:hAnsi="Segoe UI" w:cs="Segoe UI"/>
          <w:b/>
          <w:bCs/>
          <w:color w:val="000000"/>
          <w:sz w:val="18"/>
          <w:szCs w:val="18"/>
          <w:u w:val="single"/>
          <w:lang w:val="es-CO" w:eastAsia="es-ES_tradnl"/>
        </w:rPr>
        <w:t>Momento en el cual surge la obligación de practicar la autorretención en el caso de ingresos, costos, deducciones, activos y pasivos generados como consecuencia de la diferencia en cambio</w:t>
      </w:r>
      <w:r w:rsidRPr="00C7094B">
        <w:rPr>
          <w:rFonts w:ascii="Segoe UI" w:eastAsia="Times New Roman" w:hAnsi="Segoe UI" w:cs="Segoe UI"/>
          <w:b/>
          <w:bCs/>
          <w:color w:val="000000"/>
          <w:sz w:val="18"/>
          <w:szCs w:val="18"/>
          <w:lang w:val="es-CO" w:eastAsia="es-ES_tradnl"/>
        </w:rPr>
        <w:t>:</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1.1. Reiterando lo mencionado en el Concepto No. 002035 de 2018, para efectos de la autorretención a título del impuesto sobre la renta y complementarios de que tratan los artículos 1.2.6.6. y siguientes del Decreto 1625 de 2016, cuando la misma es causada por pagos o abonos en cuenta de ingresos generados de la diferencia en cambio, estos se deben establecer en los términos del </w:t>
      </w:r>
      <w:hyperlink r:id="rId5" w:tooltip="Estatuto Tributario CETA" w:history="1">
        <w:r w:rsidRPr="00C7094B">
          <w:rPr>
            <w:rFonts w:ascii="Segoe UI" w:eastAsia="Times New Roman" w:hAnsi="Segoe UI" w:cs="Segoe UI"/>
            <w:color w:val="0089E1"/>
            <w:sz w:val="18"/>
            <w:szCs w:val="18"/>
            <w:u w:val="single"/>
            <w:lang w:val="es-CO" w:eastAsia="es-ES_tradnl"/>
          </w:rPr>
          <w:t>artículo 288</w:t>
        </w:r>
      </w:hyperlink>
      <w:r w:rsidRPr="00C7094B">
        <w:rPr>
          <w:rFonts w:ascii="Segoe UI" w:eastAsia="Times New Roman" w:hAnsi="Segoe UI" w:cs="Segoe UI"/>
          <w:color w:val="000000"/>
          <w:sz w:val="18"/>
          <w:szCs w:val="18"/>
          <w:lang w:val="es-CO" w:eastAsia="es-ES_tradnl"/>
        </w:rPr>
        <w:t> del Estatuto Tributario (ET), es decir, el momento en el cual surge la obligación de practicar dicha autorretención corresponde a: </w:t>
      </w:r>
      <w:r w:rsidRPr="00C7094B">
        <w:rPr>
          <w:rFonts w:ascii="Segoe UI" w:eastAsia="Times New Roman" w:hAnsi="Segoe UI" w:cs="Segoe UI"/>
          <w:i/>
          <w:iCs/>
          <w:color w:val="000000"/>
          <w:sz w:val="18"/>
          <w:szCs w:val="18"/>
          <w:lang w:val="es-CO" w:eastAsia="es-ES_tradnl"/>
        </w:rPr>
        <w:t>“</w:t>
      </w:r>
      <w:r w:rsidRPr="00C7094B">
        <w:rPr>
          <w:rFonts w:ascii="Segoe UI" w:eastAsia="Times New Roman" w:hAnsi="Segoe UI" w:cs="Segoe UI"/>
          <w:i/>
          <w:iCs/>
          <w:color w:val="000000"/>
          <w:sz w:val="18"/>
          <w:szCs w:val="18"/>
          <w:u w:val="single"/>
          <w:lang w:val="es-CO" w:eastAsia="es-ES_tradnl"/>
        </w:rPr>
        <w:t>(…) el momento de la enajenación o abono en el caso de los activos, o liquidación o pago parcial en el caso de los pasivos</w:t>
      </w:r>
      <w:r w:rsidRPr="00C7094B">
        <w:rPr>
          <w:rFonts w:ascii="Segoe UI" w:eastAsia="Times New Roman" w:hAnsi="Segoe UI" w:cs="Segoe UI"/>
          <w:i/>
          <w:iCs/>
          <w:color w:val="000000"/>
          <w:sz w:val="18"/>
          <w:szCs w:val="18"/>
          <w:lang w:val="es-CO" w:eastAsia="es-ES_tradnl"/>
        </w:rPr>
        <w:t>”.</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1.2. De lo anterior, es posible reconocer que el </w:t>
      </w:r>
      <w:hyperlink r:id="rId6" w:tooltip="Estatuto Tributario CETA" w:history="1">
        <w:r w:rsidRPr="00C7094B">
          <w:rPr>
            <w:rFonts w:ascii="Segoe UI" w:eastAsia="Times New Roman" w:hAnsi="Segoe UI" w:cs="Segoe UI"/>
            <w:color w:val="0089E1"/>
            <w:sz w:val="18"/>
            <w:szCs w:val="18"/>
            <w:u w:val="single"/>
            <w:lang w:val="es-CO" w:eastAsia="es-ES_tradnl"/>
          </w:rPr>
          <w:t>artículo 288</w:t>
        </w:r>
      </w:hyperlink>
      <w:r w:rsidRPr="00C7094B">
        <w:rPr>
          <w:rFonts w:ascii="Segoe UI" w:eastAsia="Times New Roman" w:hAnsi="Segoe UI" w:cs="Segoe UI"/>
          <w:color w:val="000000"/>
          <w:sz w:val="18"/>
          <w:szCs w:val="18"/>
          <w:lang w:val="es-CO" w:eastAsia="es-ES_tradnl"/>
        </w:rPr>
        <w:t> del ET establece un tratamiento especial al momento en el cual surge la obligación de practicar la autorretención en el caso de ingresos, costos, deducciones, activos y pasivos generados como consecuencia de la diferencia en cambio.</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xml:space="preserve">1.3. En este sentido, consideramos preciso concluir, al igual que el contribuyente que elevó la consulta, que </w:t>
      </w:r>
      <w:r w:rsidRPr="003603BF">
        <w:rPr>
          <w:rFonts w:ascii="Segoe UI" w:eastAsia="Times New Roman" w:hAnsi="Segoe UI" w:cs="Segoe UI"/>
          <w:color w:val="000000"/>
          <w:sz w:val="18"/>
          <w:szCs w:val="18"/>
          <w:highlight w:val="yellow"/>
          <w:lang w:val="es-CO" w:eastAsia="es-ES_tradnl"/>
        </w:rPr>
        <w:t xml:space="preserve">el momento en el cual surge la obligación de practicar la autorretención causada por pagos o abonos en cuenta </w:t>
      </w:r>
      <w:r w:rsidRPr="003603BF">
        <w:rPr>
          <w:rFonts w:ascii="Segoe UI" w:eastAsia="Times New Roman" w:hAnsi="Segoe UI" w:cs="Segoe UI"/>
          <w:color w:val="000000"/>
          <w:sz w:val="18"/>
          <w:szCs w:val="18"/>
          <w:highlight w:val="yellow"/>
          <w:lang w:val="es-CO" w:eastAsia="es-ES_tradnl"/>
        </w:rPr>
        <w:lastRenderedPageBreak/>
        <w:t>de ingresos generados en la diferencia en cambio, es el momento de la enajenación o abono en el caso de los activos, o liquidación o pago en el caso de los pasivos.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2. </w:t>
      </w:r>
      <w:r w:rsidRPr="00C7094B">
        <w:rPr>
          <w:rFonts w:ascii="Segoe UI" w:eastAsia="Times New Roman" w:hAnsi="Segoe UI" w:cs="Segoe UI"/>
          <w:b/>
          <w:bCs/>
          <w:color w:val="000000"/>
          <w:sz w:val="18"/>
          <w:szCs w:val="18"/>
          <w:u w:val="single"/>
          <w:lang w:val="es-CO" w:eastAsia="es-ES_tradnl"/>
        </w:rPr>
        <w:t>Determinación de la base para calcular la autorretención en el caso de ingresos, costos, deducciones, activos y pasivos generados como consecuencia de la diferencia en cambio</w:t>
      </w:r>
      <w:r w:rsidRPr="00C7094B">
        <w:rPr>
          <w:rFonts w:ascii="Segoe UI" w:eastAsia="Times New Roman" w:hAnsi="Segoe UI" w:cs="Segoe UI"/>
          <w:b/>
          <w:bCs/>
          <w:color w:val="000000"/>
          <w:sz w:val="18"/>
          <w:szCs w:val="18"/>
          <w:lang w:val="es-CO" w:eastAsia="es-ES_tradnl"/>
        </w:rPr>
        <w:t>:</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2.1. Consideramos necesario precisar que tratándose de la autorretención a título del impuesto sobre la renta y complementarios que deben efectuar las entidades sometidas a la vigilancia de la Superintendencia Financiera de Colombia, la base para calcularla de acuerdo con el numeral 3 del artículo 1.2.6.7 del Decreto 1625 de 2016 está constituida por: </w:t>
      </w:r>
      <w:r w:rsidRPr="00C7094B">
        <w:rPr>
          <w:rFonts w:ascii="Segoe UI" w:eastAsia="Times New Roman" w:hAnsi="Segoe UI" w:cs="Segoe UI"/>
          <w:i/>
          <w:iCs/>
          <w:color w:val="000000"/>
          <w:sz w:val="18"/>
          <w:szCs w:val="18"/>
          <w:lang w:val="es-CO" w:eastAsia="es-ES_tradnl"/>
        </w:rPr>
        <w:t>“(…) </w:t>
      </w:r>
      <w:r w:rsidRPr="00C7094B">
        <w:rPr>
          <w:rFonts w:ascii="Segoe UI" w:eastAsia="Times New Roman" w:hAnsi="Segoe UI" w:cs="Segoe UI"/>
          <w:i/>
          <w:iCs/>
          <w:color w:val="000000"/>
          <w:sz w:val="18"/>
          <w:szCs w:val="18"/>
          <w:u w:val="single"/>
          <w:lang w:val="es-CO" w:eastAsia="es-ES_tradnl"/>
        </w:rPr>
        <w:t>la totalidad de los pagos o abonos en cuenta que sean susceptibles de constituir ingresos gravables</w:t>
      </w:r>
      <w:r w:rsidRPr="00C7094B">
        <w:rPr>
          <w:rFonts w:ascii="Segoe UI" w:eastAsia="Times New Roman" w:hAnsi="Segoe UI" w:cs="Segoe UI"/>
          <w:i/>
          <w:iCs/>
          <w:color w:val="000000"/>
          <w:sz w:val="18"/>
          <w:szCs w:val="18"/>
          <w:lang w:val="es-CO" w:eastAsia="es-ES_tradnl"/>
        </w:rPr>
        <w:t>”.</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2.2. Reiterando lo mencionado en el Concepto No. 002035 de 2018, es claro que: </w:t>
      </w:r>
      <w:r w:rsidRPr="00C7094B">
        <w:rPr>
          <w:rFonts w:ascii="Segoe UI" w:eastAsia="Times New Roman" w:hAnsi="Segoe UI" w:cs="Segoe UI"/>
          <w:i/>
          <w:iCs/>
          <w:color w:val="000000"/>
          <w:sz w:val="18"/>
          <w:szCs w:val="18"/>
          <w:lang w:val="es-CO" w:eastAsia="es-ES_tradnl"/>
        </w:rPr>
        <w:t>“</w:t>
      </w:r>
      <w:r w:rsidRPr="00C7094B">
        <w:rPr>
          <w:rFonts w:ascii="Segoe UI" w:eastAsia="Times New Roman" w:hAnsi="Segoe UI" w:cs="Segoe UI"/>
          <w:i/>
          <w:iCs/>
          <w:color w:val="000000"/>
          <w:sz w:val="18"/>
          <w:szCs w:val="18"/>
          <w:u w:val="single"/>
          <w:lang w:val="es-CO" w:eastAsia="es-ES_tradnl"/>
        </w:rPr>
        <w:t>los ingresos gravados que se generen por la diferencia en cambio corresponderán al valor de la diferencia entre la tasa representativa del mercado en el reconocimiento inicial y la tasa representativa del mercado en el momento del pago o abono en cuenta</w:t>
      </w:r>
      <w:r w:rsidRPr="00C7094B">
        <w:rPr>
          <w:rFonts w:ascii="Segoe UI" w:eastAsia="Times New Roman" w:hAnsi="Segoe UI" w:cs="Segoe UI"/>
          <w:i/>
          <w:iCs/>
          <w:color w:val="000000"/>
          <w:sz w:val="18"/>
          <w:szCs w:val="18"/>
          <w:lang w:val="es-CO" w:eastAsia="es-ES_tradnl"/>
        </w:rPr>
        <w:t>”.</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2.3. De lo anterior, es preciso concluir, al igual que el contribuyente que elevó la consulta, que la definición de la base de autorretención corresponde al valor de los ingresos gravados que se generen por la diferencia en cambio, los cuales son determinados por la diferencia entre la tasa representativa del mercado en el reconocimiento inicial y la tasa representativa del mercado en el momento del pago o abono en cuenta.</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2.4. Sin perjuicio a lo anterior, es necesario resaltar que la norma no hace distinción si los ingresos gravables para la determinación de la base de la autorretención deben ser brutos o netos.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2.5. Consideramos necesario precisar que los ingresos gravables por ajustes por diferencia en cambio que constituyen la base de autorretención deben ser los ingresos gravables netos, es decir los ingresos gravables brutos menos los costos y gastos asociados a dichos ingresos.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2.6. Lo anterior, se desprende del tratamiento especial que establece el </w:t>
      </w:r>
      <w:hyperlink r:id="rId7" w:tooltip="Estatuto Tributario CETA" w:history="1">
        <w:r w:rsidRPr="00C7094B">
          <w:rPr>
            <w:rFonts w:ascii="Segoe UI" w:eastAsia="Times New Roman" w:hAnsi="Segoe UI" w:cs="Segoe UI"/>
            <w:color w:val="0089E1"/>
            <w:sz w:val="18"/>
            <w:szCs w:val="18"/>
            <w:u w:val="single"/>
            <w:lang w:val="es-CO" w:eastAsia="es-ES_tradnl"/>
          </w:rPr>
          <w:t>artículo 288</w:t>
        </w:r>
      </w:hyperlink>
      <w:r w:rsidRPr="00C7094B">
        <w:rPr>
          <w:rFonts w:ascii="Segoe UI" w:eastAsia="Times New Roman" w:hAnsi="Segoe UI" w:cs="Segoe UI"/>
          <w:color w:val="000000"/>
          <w:sz w:val="18"/>
          <w:szCs w:val="18"/>
          <w:lang w:val="es-CO" w:eastAsia="es-ES_tradnl"/>
        </w:rPr>
        <w:t> del E.T., donde reconoce que los ingresos, costos y gastos tienen efectos fiscales únicamente en el momento de la enajenación o abono en el caso de los activos, o liquidación o pago parcial en el caso de los pasivos.</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2.7. Adicionalmente, consideramos que los ingresos gravables que se generen por la diferencia en cambio, los cuales constituyen base de autorretención, generalmente están asociados a algunos costos y gastos que constituirán el valor del pago o abono en cuenta correspondiente, los cuales deberán ser asumidos en el momento del pago o abono en cuenta. Dichos costos y gastos, en este tipo de operaciones son reconocidos comúnmente como coberturas o “hedging”.</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2.8. Teniendo en cuenta lo anterior y el tratamiento especial que reconoce el </w:t>
      </w:r>
      <w:hyperlink r:id="rId8" w:tooltip="Estatuto Tributario CETA" w:history="1">
        <w:r w:rsidRPr="00C7094B">
          <w:rPr>
            <w:rFonts w:ascii="Segoe UI" w:eastAsia="Times New Roman" w:hAnsi="Segoe UI" w:cs="Segoe UI"/>
            <w:color w:val="0089E1"/>
            <w:sz w:val="18"/>
            <w:szCs w:val="18"/>
            <w:u w:val="single"/>
            <w:lang w:val="es-CO" w:eastAsia="es-ES_tradnl"/>
          </w:rPr>
          <w:t>artículo 288</w:t>
        </w:r>
      </w:hyperlink>
      <w:r w:rsidRPr="00C7094B">
        <w:rPr>
          <w:rFonts w:ascii="Segoe UI" w:eastAsia="Times New Roman" w:hAnsi="Segoe UI" w:cs="Segoe UI"/>
          <w:color w:val="000000"/>
          <w:sz w:val="18"/>
          <w:szCs w:val="18"/>
          <w:lang w:val="es-CO" w:eastAsia="es-ES_tradnl"/>
        </w:rPr>
        <w:t>, es posible concluir que los ingresos gravados que constituyen la base de la autorretención deben ser los ingresos netos de la operación.</w:t>
      </w:r>
    </w:p>
    <w:p w:rsidR="00C7094B" w:rsidRPr="003603BF" w:rsidRDefault="00C7094B" w:rsidP="00C7094B">
      <w:pPr>
        <w:jc w:val="both"/>
        <w:rPr>
          <w:rFonts w:ascii="Arial" w:eastAsia="Times New Roman" w:hAnsi="Arial" w:cs="Arial"/>
          <w:color w:val="000000"/>
          <w:sz w:val="18"/>
          <w:szCs w:val="18"/>
          <w:highlight w:val="yellow"/>
          <w:lang w:val="es-CO" w:eastAsia="es-ES_tradnl"/>
        </w:rPr>
      </w:pPr>
      <w:r w:rsidRPr="003603BF">
        <w:rPr>
          <w:rFonts w:ascii="Segoe UI" w:eastAsia="Times New Roman" w:hAnsi="Segoe UI" w:cs="Segoe UI"/>
          <w:color w:val="000000"/>
          <w:sz w:val="18"/>
          <w:szCs w:val="18"/>
          <w:highlight w:val="yellow"/>
          <w:lang w:val="es-CO" w:eastAsia="es-ES_tradnl"/>
        </w:rPr>
        <w:t>2.9. En búsqueda de aclarar lo solicitado en la consulta de la referencia, concluimos que:</w:t>
      </w:r>
    </w:p>
    <w:p w:rsidR="00C7094B" w:rsidRPr="003603BF" w:rsidRDefault="00C7094B" w:rsidP="00C7094B">
      <w:pPr>
        <w:jc w:val="both"/>
        <w:rPr>
          <w:rFonts w:ascii="Arial" w:eastAsia="Times New Roman" w:hAnsi="Arial" w:cs="Arial"/>
          <w:color w:val="000000"/>
          <w:sz w:val="18"/>
          <w:szCs w:val="18"/>
          <w:highlight w:val="yellow"/>
          <w:lang w:val="es-CO" w:eastAsia="es-ES_tradnl"/>
        </w:rPr>
      </w:pPr>
      <w:r w:rsidRPr="003603BF">
        <w:rPr>
          <w:rFonts w:ascii="Segoe UI" w:eastAsia="Times New Roman" w:hAnsi="Segoe UI" w:cs="Segoe UI"/>
          <w:color w:val="000000"/>
          <w:sz w:val="18"/>
          <w:szCs w:val="18"/>
          <w:highlight w:val="yellow"/>
          <w:lang w:val="es-CO" w:eastAsia="es-ES_tradnl"/>
        </w:rPr>
        <w:t> </w:t>
      </w:r>
    </w:p>
    <w:p w:rsidR="00C7094B" w:rsidRPr="003603BF" w:rsidRDefault="00C7094B" w:rsidP="00C7094B">
      <w:pPr>
        <w:jc w:val="both"/>
        <w:rPr>
          <w:rFonts w:ascii="Arial" w:eastAsia="Times New Roman" w:hAnsi="Arial" w:cs="Arial"/>
          <w:color w:val="000000"/>
          <w:sz w:val="18"/>
          <w:szCs w:val="18"/>
          <w:highlight w:val="yellow"/>
          <w:lang w:val="es-CO" w:eastAsia="es-ES_tradnl"/>
        </w:rPr>
      </w:pPr>
      <w:r w:rsidRPr="003603BF">
        <w:rPr>
          <w:rFonts w:ascii="Segoe UI" w:eastAsia="Times New Roman" w:hAnsi="Segoe UI" w:cs="Segoe UI"/>
          <w:color w:val="000000"/>
          <w:sz w:val="18"/>
          <w:szCs w:val="18"/>
          <w:highlight w:val="yellow"/>
          <w:lang w:val="es-CO" w:eastAsia="es-ES_tradnl"/>
        </w:rPr>
        <w:t>a) La base de autorretención está constituida por el valor de los ingresos gravados que se generen por la diferencia en cambio, los cuales corresponden a la diferencia entre la tasa representativa del mercado en el reconocimiento inicial y la tasa representativa del mercado en el momento del pago o abono en cuenta, y</w:t>
      </w:r>
    </w:p>
    <w:p w:rsidR="00C7094B" w:rsidRPr="00C7094B" w:rsidRDefault="00C7094B" w:rsidP="00C7094B">
      <w:pPr>
        <w:jc w:val="both"/>
        <w:rPr>
          <w:rFonts w:ascii="Arial" w:eastAsia="Times New Roman" w:hAnsi="Arial" w:cs="Arial"/>
          <w:color w:val="000000"/>
          <w:sz w:val="18"/>
          <w:szCs w:val="18"/>
          <w:lang w:val="es-CO" w:eastAsia="es-ES_tradnl"/>
        </w:rPr>
      </w:pPr>
      <w:r w:rsidRPr="003603BF">
        <w:rPr>
          <w:rFonts w:ascii="Segoe UI" w:eastAsia="Times New Roman" w:hAnsi="Segoe UI" w:cs="Segoe UI"/>
          <w:color w:val="000000"/>
          <w:sz w:val="18"/>
          <w:szCs w:val="18"/>
          <w:highlight w:val="yellow"/>
          <w:lang w:val="es-CO" w:eastAsia="es-ES_tradnl"/>
        </w:rPr>
        <w:t>b) Los ingresos gravables que constituyen la base mencionada en el literal anterior, corresponden a los ingresos netos de la operación durante el período correspondiente.</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2.10. Por otro lado, debe destacarse que la determinación de los ingresos gravables por la diferencia en cambio es aplicable únicamente sobre esta tipología de ingresos y en ningún caso reemplaza o exceptúa a los agentes obligados a efectuar la autorretención a título de impuesto sobre la renta y complementarios de realizar la misma sobre los demás abonos o pagos que causen la obligación tributaria sustancial.</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3603BF">
        <w:rPr>
          <w:rFonts w:ascii="Segoe UI" w:eastAsia="Times New Roman" w:hAnsi="Segoe UI" w:cs="Segoe UI"/>
          <w:color w:val="000000"/>
          <w:sz w:val="18"/>
          <w:szCs w:val="18"/>
          <w:highlight w:val="yellow"/>
          <w:lang w:val="es-CO" w:eastAsia="es-ES_tradnl"/>
        </w:rPr>
        <w:t>3. Teniendo en cuenta lo establecido en este documento, es preciso reconocer que se aclaran los temas señalados por el consultante en relación a las consultas de la referencia, mas no se reconsidera lo fijado en los Oficios No. 002035 del 19 de noviembre de 2018 y 001606 del 14 de diciembre de 2018.</w:t>
      </w:r>
      <w:bookmarkStart w:id="0" w:name="_GoBack"/>
      <w:bookmarkEnd w:id="0"/>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9" w:history="1">
        <w:r w:rsidRPr="00C7094B">
          <w:rPr>
            <w:rFonts w:ascii="Segoe UI" w:eastAsia="Times New Roman" w:hAnsi="Segoe UI" w:cs="Segoe UI"/>
            <w:color w:val="0563C1"/>
            <w:sz w:val="18"/>
            <w:szCs w:val="18"/>
            <w:u w:val="single"/>
            <w:lang w:val="es-CO" w:eastAsia="es-ES_tradnl"/>
          </w:rPr>
          <w:t>https://www.dian.gov.co</w:t>
        </w:r>
      </w:hyperlink>
      <w:r w:rsidRPr="00C7094B">
        <w:rPr>
          <w:rFonts w:ascii="Segoe UI" w:eastAsia="Times New Roman" w:hAnsi="Segoe UI" w:cs="Segoe UI"/>
          <w:color w:val="000000"/>
          <w:sz w:val="18"/>
          <w:szCs w:val="18"/>
          <w:lang w:val="es-CO" w:eastAsia="es-ES_tradnl"/>
        </w:rPr>
        <w:t> siguiendo íconos “Normatividad” – “Técnica” y seleccionando los vínculos “Doctrina” y “Dirección de Gestión Jurídica”.</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Cordialmente,</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 </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b/>
          <w:bCs/>
          <w:color w:val="000000"/>
          <w:sz w:val="18"/>
          <w:szCs w:val="18"/>
          <w:lang w:val="es-CO" w:eastAsia="es-ES_tradnl"/>
        </w:rPr>
        <w:t>LILIANA ANDREA FORERO GÓMEZ</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lastRenderedPageBreak/>
        <w:t>Directora de Gestión Jurídica</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Dirección de Gestión Jurídica</w:t>
      </w:r>
    </w:p>
    <w:p w:rsidR="00C7094B" w:rsidRPr="00C7094B" w:rsidRDefault="00C7094B" w:rsidP="00C7094B">
      <w:pPr>
        <w:jc w:val="both"/>
        <w:rPr>
          <w:rFonts w:ascii="Arial" w:eastAsia="Times New Roman" w:hAnsi="Arial" w:cs="Arial"/>
          <w:color w:val="000000"/>
          <w:sz w:val="18"/>
          <w:szCs w:val="18"/>
          <w:lang w:val="es-CO" w:eastAsia="es-ES_tradnl"/>
        </w:rPr>
      </w:pPr>
      <w:r w:rsidRPr="00C7094B">
        <w:rPr>
          <w:rFonts w:ascii="Segoe UI" w:eastAsia="Times New Roman" w:hAnsi="Segoe UI" w:cs="Segoe UI"/>
          <w:color w:val="000000"/>
          <w:sz w:val="18"/>
          <w:szCs w:val="18"/>
          <w:lang w:val="es-CO" w:eastAsia="es-ES_tradnl"/>
        </w:rPr>
        <w:t>UAE – Dirección de Impuestos y Aduanas Nacionales</w:t>
      </w:r>
    </w:p>
    <w:p w:rsidR="0088602A" w:rsidRPr="00C7094B" w:rsidRDefault="0088602A">
      <w:pPr>
        <w:rPr>
          <w:lang w:val="es-CO"/>
        </w:rPr>
      </w:pPr>
    </w:p>
    <w:sectPr w:rsidR="0088602A" w:rsidRPr="00C7094B"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4B"/>
    <w:rsid w:val="003603BF"/>
    <w:rsid w:val="0088602A"/>
    <w:rsid w:val="00A34E9D"/>
    <w:rsid w:val="00C709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EE9DEE9-96F5-BF41-A304-CE8E9C3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094B"/>
    <w:rPr>
      <w:color w:val="0000FF"/>
      <w:u w:val="single"/>
    </w:rPr>
  </w:style>
  <w:style w:type="paragraph" w:styleId="Prrafodelista">
    <w:name w:val="List Paragraph"/>
    <w:basedOn w:val="Normal"/>
    <w:uiPriority w:val="34"/>
    <w:qFormat/>
    <w:rsid w:val="00C7094B"/>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6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65" TargetMode="External"/><Relationship Id="rId11" Type="http://schemas.openxmlformats.org/officeDocument/2006/relationships/theme" Target="theme/theme1.xml"/><Relationship Id="rId5" Type="http://schemas.openxmlformats.org/officeDocument/2006/relationships/hyperlink" Target="https://www.ceta.org.co/html/vista_de_un_articulo.asp?Norma=365" TargetMode="External"/><Relationship Id="rId10" Type="http://schemas.openxmlformats.org/officeDocument/2006/relationships/fontTable" Target="fontTable.xml"/><Relationship Id="rId4" Type="http://schemas.openxmlformats.org/officeDocument/2006/relationships/hyperlink" Target="https://www.ceta.org.co/html/vista_de_un_articulo.asp?Norma=365" TargetMode="External"/><Relationship Id="rId9" Type="http://schemas.openxmlformats.org/officeDocument/2006/relationships/hyperlink" Target="https://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1405</Words>
  <Characters>7728</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2</cp:revision>
  <dcterms:created xsi:type="dcterms:W3CDTF">2019-05-09T16:44:00Z</dcterms:created>
  <dcterms:modified xsi:type="dcterms:W3CDTF">2019-05-18T15:33:00Z</dcterms:modified>
</cp:coreProperties>
</file>