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B80" w:rsidRPr="00937B80" w:rsidRDefault="00937B80" w:rsidP="00937B80">
      <w:pPr>
        <w:jc w:val="center"/>
        <w:rPr>
          <w:rFonts w:ascii="Arial" w:eastAsia="Times New Roman" w:hAnsi="Arial" w:cs="Arial"/>
          <w:color w:val="000000"/>
          <w:sz w:val="18"/>
          <w:szCs w:val="18"/>
          <w:lang w:val="es-CO" w:eastAsia="es-ES_tradnl"/>
        </w:rPr>
      </w:pPr>
      <w:bookmarkStart w:id="0" w:name="_GoBack"/>
      <w:bookmarkEnd w:id="0"/>
      <w:r w:rsidRPr="00937B80">
        <w:rPr>
          <w:rFonts w:ascii="Arial" w:eastAsia="Times New Roman" w:hAnsi="Arial" w:cs="Arial"/>
          <w:b/>
          <w:bCs/>
          <w:color w:val="0000FF"/>
          <w:sz w:val="28"/>
          <w:szCs w:val="28"/>
          <w:lang w:val="es-CO" w:eastAsia="es-ES_tradnl"/>
        </w:rPr>
        <w:t>OFICIO Nº 1044 [010013]</w:t>
      </w:r>
    </w:p>
    <w:p w:rsidR="00937B80" w:rsidRPr="00937B80" w:rsidRDefault="00937B80" w:rsidP="00937B80">
      <w:pPr>
        <w:jc w:val="center"/>
        <w:rPr>
          <w:rFonts w:ascii="Arial" w:eastAsia="Times New Roman" w:hAnsi="Arial" w:cs="Arial"/>
          <w:color w:val="000000"/>
          <w:sz w:val="18"/>
          <w:szCs w:val="18"/>
          <w:lang w:val="es-CO" w:eastAsia="es-ES_tradnl"/>
        </w:rPr>
      </w:pPr>
      <w:r w:rsidRPr="00937B80">
        <w:rPr>
          <w:rFonts w:ascii="Arial" w:eastAsia="Times New Roman" w:hAnsi="Arial" w:cs="Arial"/>
          <w:b/>
          <w:bCs/>
          <w:color w:val="0000FF"/>
          <w:sz w:val="28"/>
          <w:szCs w:val="28"/>
          <w:lang w:val="es-CO" w:eastAsia="es-ES_tradnl"/>
        </w:rPr>
        <w:t>29-04-2019</w:t>
      </w:r>
    </w:p>
    <w:p w:rsidR="00937B80" w:rsidRPr="00937B80" w:rsidRDefault="00937B80" w:rsidP="00937B80">
      <w:pPr>
        <w:jc w:val="center"/>
        <w:rPr>
          <w:rFonts w:ascii="Arial" w:eastAsia="Times New Roman" w:hAnsi="Arial" w:cs="Arial"/>
          <w:color w:val="000000"/>
          <w:sz w:val="18"/>
          <w:szCs w:val="18"/>
          <w:lang w:val="es-CO" w:eastAsia="es-ES_tradnl"/>
        </w:rPr>
      </w:pPr>
      <w:r w:rsidRPr="00937B80">
        <w:rPr>
          <w:rFonts w:ascii="Arial" w:eastAsia="Times New Roman" w:hAnsi="Arial" w:cs="Arial"/>
          <w:b/>
          <w:bCs/>
          <w:color w:val="0000FF"/>
          <w:sz w:val="28"/>
          <w:szCs w:val="28"/>
          <w:lang w:val="es-CO" w:eastAsia="es-ES_tradnl"/>
        </w:rPr>
        <w:t>DIAN</w:t>
      </w:r>
    </w:p>
    <w:p w:rsidR="00937B80" w:rsidRPr="00937B80" w:rsidRDefault="00937B80" w:rsidP="00937B80">
      <w:pPr>
        <w:jc w:val="both"/>
        <w:rPr>
          <w:rFonts w:ascii="Arial" w:eastAsia="Times New Roman" w:hAnsi="Arial" w:cs="Arial"/>
          <w:color w:val="000000"/>
          <w:sz w:val="18"/>
          <w:szCs w:val="18"/>
          <w:lang w:val="es-CO" w:eastAsia="es-ES_tradnl"/>
        </w:rPr>
      </w:pPr>
      <w:r w:rsidRPr="00937B80">
        <w:rPr>
          <w:rFonts w:ascii="Arial" w:eastAsia="Times New Roman" w:hAnsi="Arial" w:cs="Arial"/>
          <w:b/>
          <w:bCs/>
          <w:color w:val="0000FF"/>
          <w:sz w:val="18"/>
          <w:szCs w:val="18"/>
          <w:lang w:val="es-CO" w:eastAsia="es-ES_tradnl"/>
        </w:rPr>
        <w:t> </w:t>
      </w:r>
    </w:p>
    <w:p w:rsidR="00937B80" w:rsidRPr="00937B80" w:rsidRDefault="00937B80" w:rsidP="00937B80">
      <w:pPr>
        <w:jc w:val="both"/>
        <w:rPr>
          <w:rFonts w:ascii="Arial" w:eastAsia="Times New Roman" w:hAnsi="Arial" w:cs="Arial"/>
          <w:color w:val="000000"/>
          <w:sz w:val="18"/>
          <w:szCs w:val="18"/>
          <w:lang w:val="es-CO" w:eastAsia="es-ES_tradnl"/>
        </w:rPr>
      </w:pPr>
      <w:r w:rsidRPr="00937B80">
        <w:rPr>
          <w:rFonts w:ascii="Arial" w:eastAsia="Times New Roman" w:hAnsi="Arial" w:cs="Arial"/>
          <w:b/>
          <w:bCs/>
          <w:color w:val="0000FF"/>
          <w:sz w:val="18"/>
          <w:szCs w:val="18"/>
          <w:lang w:val="es-CO" w:eastAsia="es-ES_tradnl"/>
        </w:rPr>
        <w:t> </w:t>
      </w:r>
    </w:p>
    <w:p w:rsidR="00937B80" w:rsidRPr="00937B80" w:rsidRDefault="00937B80" w:rsidP="00937B80">
      <w:pPr>
        <w:jc w:val="both"/>
        <w:rPr>
          <w:rFonts w:ascii="Arial" w:eastAsia="Times New Roman" w:hAnsi="Arial" w:cs="Arial"/>
          <w:color w:val="000000"/>
          <w:sz w:val="18"/>
          <w:szCs w:val="18"/>
          <w:lang w:val="es-CO" w:eastAsia="es-ES_tradnl"/>
        </w:rPr>
      </w:pPr>
      <w:r w:rsidRPr="00937B80">
        <w:rPr>
          <w:rFonts w:ascii="Arial" w:eastAsia="Times New Roman" w:hAnsi="Arial" w:cs="Arial"/>
          <w:color w:val="000000"/>
          <w:sz w:val="18"/>
          <w:szCs w:val="18"/>
          <w:lang w:val="es-CO" w:eastAsia="es-ES_tradnl"/>
        </w:rPr>
        <w:t>Subdirección de Gestión Normativa y Doctrina</w:t>
      </w:r>
    </w:p>
    <w:p w:rsidR="00937B80" w:rsidRPr="00937B80" w:rsidRDefault="00937B80" w:rsidP="00937B80">
      <w:pPr>
        <w:jc w:val="both"/>
        <w:rPr>
          <w:rFonts w:ascii="Arial" w:eastAsia="Times New Roman" w:hAnsi="Arial" w:cs="Arial"/>
          <w:color w:val="000000"/>
          <w:sz w:val="18"/>
          <w:szCs w:val="18"/>
          <w:lang w:val="es-CO" w:eastAsia="es-ES_tradnl"/>
        </w:rPr>
      </w:pPr>
      <w:r w:rsidRPr="00937B80">
        <w:rPr>
          <w:rFonts w:ascii="Arial" w:eastAsia="Times New Roman" w:hAnsi="Arial" w:cs="Arial"/>
          <w:color w:val="000000"/>
          <w:sz w:val="18"/>
          <w:szCs w:val="18"/>
          <w:lang w:val="es-CO" w:eastAsia="es-ES_tradnl"/>
        </w:rPr>
        <w:t>Bogotá, D.C.</w:t>
      </w:r>
    </w:p>
    <w:p w:rsidR="00937B80" w:rsidRPr="00937B80" w:rsidRDefault="00937B80" w:rsidP="00937B80">
      <w:pPr>
        <w:jc w:val="both"/>
        <w:rPr>
          <w:rFonts w:ascii="Arial" w:eastAsia="Times New Roman" w:hAnsi="Arial" w:cs="Arial"/>
          <w:color w:val="000000"/>
          <w:sz w:val="18"/>
          <w:szCs w:val="18"/>
          <w:lang w:val="es-CO" w:eastAsia="es-ES_tradnl"/>
        </w:rPr>
      </w:pPr>
      <w:r w:rsidRPr="00937B80">
        <w:rPr>
          <w:rFonts w:ascii="Arial" w:eastAsia="Times New Roman" w:hAnsi="Arial" w:cs="Arial"/>
          <w:color w:val="000000"/>
          <w:sz w:val="18"/>
          <w:szCs w:val="18"/>
          <w:lang w:val="es-CO" w:eastAsia="es-ES_tradnl"/>
        </w:rPr>
        <w:t>100208221 – 001044</w:t>
      </w:r>
    </w:p>
    <w:p w:rsidR="00937B80" w:rsidRPr="00937B80" w:rsidRDefault="00937B80" w:rsidP="00937B80">
      <w:pPr>
        <w:jc w:val="both"/>
        <w:rPr>
          <w:rFonts w:ascii="Arial" w:eastAsia="Times New Roman" w:hAnsi="Arial" w:cs="Arial"/>
          <w:color w:val="000000"/>
          <w:sz w:val="18"/>
          <w:szCs w:val="18"/>
          <w:lang w:val="es-CO" w:eastAsia="es-ES_tradnl"/>
        </w:rPr>
      </w:pPr>
      <w:r w:rsidRPr="00937B80">
        <w:rPr>
          <w:rFonts w:ascii="Arial" w:eastAsia="Times New Roman" w:hAnsi="Arial" w:cs="Arial"/>
          <w:color w:val="000000"/>
          <w:sz w:val="18"/>
          <w:szCs w:val="18"/>
          <w:lang w:val="es-CO" w:eastAsia="es-ES_tradnl"/>
        </w:rPr>
        <w:t> </w:t>
      </w:r>
    </w:p>
    <w:p w:rsidR="00937B80" w:rsidRPr="00937B80" w:rsidRDefault="00937B80" w:rsidP="00937B80">
      <w:pPr>
        <w:jc w:val="both"/>
        <w:rPr>
          <w:rFonts w:ascii="Arial" w:eastAsia="Times New Roman" w:hAnsi="Arial" w:cs="Arial"/>
          <w:color w:val="000000"/>
          <w:sz w:val="18"/>
          <w:szCs w:val="18"/>
          <w:lang w:val="es-CO" w:eastAsia="es-ES_tradnl"/>
        </w:rPr>
      </w:pPr>
      <w:r w:rsidRPr="00937B80">
        <w:rPr>
          <w:rFonts w:ascii="Arial" w:eastAsia="Times New Roman" w:hAnsi="Arial" w:cs="Arial"/>
          <w:b/>
          <w:bCs/>
          <w:color w:val="000000"/>
          <w:sz w:val="18"/>
          <w:szCs w:val="18"/>
          <w:lang w:val="es-CO" w:eastAsia="es-ES_tradnl"/>
        </w:rPr>
        <w:t>Ref:</w:t>
      </w:r>
      <w:r w:rsidRPr="00937B80">
        <w:rPr>
          <w:rFonts w:ascii="Arial" w:eastAsia="Times New Roman" w:hAnsi="Arial" w:cs="Arial"/>
          <w:color w:val="000000"/>
          <w:sz w:val="18"/>
          <w:szCs w:val="18"/>
          <w:lang w:val="es-CO" w:eastAsia="es-ES_tradnl"/>
        </w:rPr>
        <w:t> Radicado 000155 del 15/03/2019</w:t>
      </w:r>
    </w:p>
    <w:p w:rsidR="00937B80" w:rsidRPr="00937B80" w:rsidRDefault="00937B80" w:rsidP="00937B80">
      <w:pPr>
        <w:jc w:val="both"/>
        <w:rPr>
          <w:rFonts w:ascii="Arial" w:eastAsia="Times New Roman" w:hAnsi="Arial" w:cs="Arial"/>
          <w:color w:val="000000"/>
          <w:sz w:val="18"/>
          <w:szCs w:val="18"/>
          <w:lang w:val="es-CO" w:eastAsia="es-ES_tradnl"/>
        </w:rPr>
      </w:pPr>
      <w:r w:rsidRPr="00937B80">
        <w:rPr>
          <w:rFonts w:ascii="Arial" w:eastAsia="Times New Roman" w:hAnsi="Arial" w:cs="Arial"/>
          <w:color w:val="000000"/>
          <w:sz w:val="18"/>
          <w:szCs w:val="18"/>
          <w:lang w:val="es-CO" w:eastAsia="es-ES_tradnl"/>
        </w:rPr>
        <w:t> </w:t>
      </w:r>
    </w:p>
    <w:tbl>
      <w:tblPr>
        <w:tblW w:w="0" w:type="auto"/>
        <w:tblCellMar>
          <w:left w:w="0" w:type="dxa"/>
          <w:right w:w="0" w:type="dxa"/>
        </w:tblCellMar>
        <w:tblLook w:val="04A0" w:firstRow="1" w:lastRow="0" w:firstColumn="1" w:lastColumn="0" w:noHBand="0" w:noVBand="1"/>
      </w:tblPr>
      <w:tblGrid>
        <w:gridCol w:w="1873"/>
        <w:gridCol w:w="272"/>
        <w:gridCol w:w="272"/>
        <w:gridCol w:w="4174"/>
      </w:tblGrid>
      <w:tr w:rsidR="00937B80" w:rsidRPr="00937B80" w:rsidTr="00937B80">
        <w:tc>
          <w:tcPr>
            <w:tcW w:w="0" w:type="auto"/>
            <w:tcBorders>
              <w:top w:val="nil"/>
              <w:left w:val="nil"/>
              <w:bottom w:val="nil"/>
              <w:right w:val="nil"/>
            </w:tcBorders>
            <w:shd w:val="clear" w:color="auto" w:fill="auto"/>
            <w:tcMar>
              <w:top w:w="0" w:type="dxa"/>
              <w:left w:w="108" w:type="dxa"/>
              <w:bottom w:w="0" w:type="dxa"/>
              <w:right w:w="108" w:type="dxa"/>
            </w:tcMar>
            <w:hideMark/>
          </w:tcPr>
          <w:p w:rsidR="00937B80" w:rsidRPr="00937B80" w:rsidRDefault="00937B80" w:rsidP="00937B80">
            <w:pPr>
              <w:jc w:val="both"/>
              <w:rPr>
                <w:rFonts w:ascii="Arial" w:eastAsia="Times New Roman" w:hAnsi="Arial" w:cs="Arial"/>
                <w:lang w:val="es-CO" w:eastAsia="es-ES_tradnl"/>
              </w:rPr>
            </w:pPr>
            <w:r w:rsidRPr="00937B80">
              <w:rPr>
                <w:rFonts w:ascii="Arial" w:eastAsia="Times New Roman" w:hAnsi="Arial" w:cs="Arial"/>
                <w:b/>
                <w:bCs/>
                <w:sz w:val="20"/>
                <w:szCs w:val="20"/>
                <w:lang w:val="es-CO" w:eastAsia="es-ES_tradnl"/>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37B80" w:rsidRPr="00937B80" w:rsidRDefault="00937B80" w:rsidP="00937B80">
            <w:pPr>
              <w:jc w:val="both"/>
              <w:rPr>
                <w:rFonts w:ascii="Arial" w:eastAsia="Times New Roman" w:hAnsi="Arial" w:cs="Arial"/>
                <w:lang w:val="es-CO" w:eastAsia="es-ES_tradnl"/>
              </w:rPr>
            </w:pPr>
            <w:r w:rsidRPr="00937B80">
              <w:rPr>
                <w:rFonts w:ascii="Arial" w:eastAsia="Times New Roman" w:hAnsi="Arial" w:cs="Arial"/>
                <w:sz w:val="20"/>
                <w:szCs w:val="20"/>
                <w:lang w:val="es-CO" w:eastAsia="es-ES_tradnl"/>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37B80" w:rsidRPr="00937B80" w:rsidRDefault="00937B80" w:rsidP="00937B80">
            <w:pPr>
              <w:jc w:val="both"/>
              <w:rPr>
                <w:rFonts w:ascii="Arial" w:eastAsia="Times New Roman" w:hAnsi="Arial" w:cs="Arial"/>
                <w:lang w:val="es-CO" w:eastAsia="es-ES_tradnl"/>
              </w:rPr>
            </w:pPr>
            <w:r w:rsidRPr="00937B80">
              <w:rPr>
                <w:rFonts w:ascii="Arial" w:eastAsia="Times New Roman" w:hAnsi="Arial" w:cs="Arial"/>
                <w:sz w:val="20"/>
                <w:szCs w:val="20"/>
                <w:lang w:val="es-CO" w:eastAsia="es-ES_tradnl"/>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37B80" w:rsidRPr="00937B80" w:rsidRDefault="00937B80" w:rsidP="00937B80">
            <w:pPr>
              <w:jc w:val="both"/>
              <w:rPr>
                <w:rFonts w:ascii="Arial" w:eastAsia="Times New Roman" w:hAnsi="Arial" w:cs="Arial"/>
                <w:lang w:val="es-CO" w:eastAsia="es-ES_tradnl"/>
              </w:rPr>
            </w:pPr>
            <w:r w:rsidRPr="00937B80">
              <w:rPr>
                <w:rFonts w:ascii="Arial" w:eastAsia="Times New Roman" w:hAnsi="Arial" w:cs="Arial"/>
                <w:sz w:val="20"/>
                <w:szCs w:val="20"/>
                <w:lang w:val="es-CO" w:eastAsia="es-ES_tradnl"/>
              </w:rPr>
              <w:t>Impuesto sobre la Renta y Complementarios</w:t>
            </w:r>
          </w:p>
        </w:tc>
      </w:tr>
      <w:tr w:rsidR="00937B80" w:rsidRPr="00937B80" w:rsidTr="00937B80">
        <w:tc>
          <w:tcPr>
            <w:tcW w:w="0" w:type="auto"/>
            <w:tcBorders>
              <w:top w:val="nil"/>
              <w:left w:val="nil"/>
              <w:bottom w:val="nil"/>
              <w:right w:val="nil"/>
            </w:tcBorders>
            <w:shd w:val="clear" w:color="auto" w:fill="auto"/>
            <w:tcMar>
              <w:top w:w="0" w:type="dxa"/>
              <w:left w:w="108" w:type="dxa"/>
              <w:bottom w:w="0" w:type="dxa"/>
              <w:right w:w="108" w:type="dxa"/>
            </w:tcMar>
            <w:hideMark/>
          </w:tcPr>
          <w:p w:rsidR="00937B80" w:rsidRPr="00937B80" w:rsidRDefault="00937B80" w:rsidP="00937B80">
            <w:pPr>
              <w:jc w:val="both"/>
              <w:rPr>
                <w:rFonts w:ascii="Arial" w:eastAsia="Times New Roman" w:hAnsi="Arial" w:cs="Arial"/>
                <w:lang w:val="es-CO" w:eastAsia="es-ES_tradnl"/>
              </w:rPr>
            </w:pPr>
            <w:r w:rsidRPr="00937B80">
              <w:rPr>
                <w:rFonts w:ascii="Arial" w:eastAsia="Times New Roman" w:hAnsi="Arial" w:cs="Arial"/>
                <w:b/>
                <w:bCs/>
                <w:sz w:val="20"/>
                <w:szCs w:val="20"/>
                <w:lang w:val="es-CO" w:eastAsia="es-ES_tradnl"/>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37B80" w:rsidRPr="00937B80" w:rsidRDefault="00937B80" w:rsidP="00937B80">
            <w:pPr>
              <w:jc w:val="both"/>
              <w:rPr>
                <w:rFonts w:ascii="Arial" w:eastAsia="Times New Roman" w:hAnsi="Arial" w:cs="Arial"/>
                <w:lang w:val="es-CO" w:eastAsia="es-ES_tradnl"/>
              </w:rPr>
            </w:pPr>
            <w:r w:rsidRPr="00937B80">
              <w:rPr>
                <w:rFonts w:ascii="Arial" w:eastAsia="Times New Roman" w:hAnsi="Arial" w:cs="Arial"/>
                <w:sz w:val="20"/>
                <w:szCs w:val="20"/>
                <w:lang w:val="es-CO" w:eastAsia="es-ES_tradnl"/>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37B80" w:rsidRPr="00937B80" w:rsidRDefault="00937B80" w:rsidP="00937B80">
            <w:pPr>
              <w:jc w:val="both"/>
              <w:rPr>
                <w:rFonts w:ascii="Arial" w:eastAsia="Times New Roman" w:hAnsi="Arial" w:cs="Arial"/>
                <w:lang w:val="es-CO" w:eastAsia="es-ES_tradnl"/>
              </w:rPr>
            </w:pPr>
            <w:r w:rsidRPr="00937B80">
              <w:rPr>
                <w:rFonts w:ascii="Arial" w:eastAsia="Times New Roman" w:hAnsi="Arial" w:cs="Arial"/>
                <w:sz w:val="20"/>
                <w:szCs w:val="20"/>
                <w:lang w:val="es-CO" w:eastAsia="es-ES_tradnl"/>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37B80" w:rsidRPr="00937B80" w:rsidRDefault="00937B80" w:rsidP="00937B80">
            <w:pPr>
              <w:jc w:val="both"/>
              <w:rPr>
                <w:rFonts w:ascii="Arial" w:eastAsia="Times New Roman" w:hAnsi="Arial" w:cs="Arial"/>
                <w:lang w:val="es-CO" w:eastAsia="es-ES_tradnl"/>
              </w:rPr>
            </w:pPr>
            <w:r w:rsidRPr="00937B80">
              <w:rPr>
                <w:rFonts w:ascii="Arial" w:eastAsia="Times New Roman" w:hAnsi="Arial" w:cs="Arial"/>
                <w:sz w:val="20"/>
                <w:szCs w:val="20"/>
                <w:lang w:val="es-CO" w:eastAsia="es-ES_tradnl"/>
              </w:rPr>
              <w:t>Retención en el Impuesto Sobre la Renta</w:t>
            </w:r>
          </w:p>
        </w:tc>
      </w:tr>
      <w:tr w:rsidR="00937B80" w:rsidRPr="00937B80" w:rsidTr="00937B80">
        <w:tc>
          <w:tcPr>
            <w:tcW w:w="0" w:type="auto"/>
            <w:tcBorders>
              <w:top w:val="nil"/>
              <w:left w:val="nil"/>
              <w:bottom w:val="nil"/>
              <w:right w:val="nil"/>
            </w:tcBorders>
            <w:shd w:val="clear" w:color="auto" w:fill="auto"/>
            <w:tcMar>
              <w:top w:w="0" w:type="dxa"/>
              <w:left w:w="108" w:type="dxa"/>
              <w:bottom w:w="0" w:type="dxa"/>
              <w:right w:w="108" w:type="dxa"/>
            </w:tcMar>
            <w:hideMark/>
          </w:tcPr>
          <w:p w:rsidR="00937B80" w:rsidRPr="00937B80" w:rsidRDefault="00937B80" w:rsidP="00937B80">
            <w:pPr>
              <w:jc w:val="both"/>
              <w:rPr>
                <w:rFonts w:ascii="Arial" w:eastAsia="Times New Roman" w:hAnsi="Arial" w:cs="Arial"/>
                <w:lang w:val="es-CO" w:eastAsia="es-ES_tradnl"/>
              </w:rPr>
            </w:pPr>
            <w:r w:rsidRPr="00937B80">
              <w:rPr>
                <w:rFonts w:ascii="Arial" w:eastAsia="Times New Roman" w:hAnsi="Arial" w:cs="Arial"/>
                <w:b/>
                <w:bCs/>
                <w:sz w:val="20"/>
                <w:szCs w:val="20"/>
                <w:lang w:val="es-CO" w:eastAsia="es-ES_tradnl"/>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37B80" w:rsidRPr="00937B80" w:rsidRDefault="00937B80" w:rsidP="00937B80">
            <w:pPr>
              <w:jc w:val="both"/>
              <w:rPr>
                <w:rFonts w:ascii="Arial" w:eastAsia="Times New Roman" w:hAnsi="Arial" w:cs="Arial"/>
                <w:lang w:val="es-CO" w:eastAsia="es-ES_tradnl"/>
              </w:rPr>
            </w:pPr>
            <w:r w:rsidRPr="00937B80">
              <w:rPr>
                <w:rFonts w:ascii="Arial" w:eastAsia="Times New Roman" w:hAnsi="Arial" w:cs="Arial"/>
                <w:sz w:val="20"/>
                <w:szCs w:val="20"/>
                <w:lang w:val="es-CO" w:eastAsia="es-ES_tradnl"/>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37B80" w:rsidRPr="00937B80" w:rsidRDefault="00937B80" w:rsidP="00937B80">
            <w:pPr>
              <w:jc w:val="both"/>
              <w:rPr>
                <w:rFonts w:ascii="Arial" w:eastAsia="Times New Roman" w:hAnsi="Arial" w:cs="Arial"/>
                <w:lang w:val="es-CO" w:eastAsia="es-ES_tradnl"/>
              </w:rPr>
            </w:pPr>
            <w:r w:rsidRPr="00937B80">
              <w:rPr>
                <w:rFonts w:ascii="Arial" w:eastAsia="Times New Roman" w:hAnsi="Arial" w:cs="Arial"/>
                <w:sz w:val="20"/>
                <w:szCs w:val="20"/>
                <w:lang w:val="es-CO" w:eastAsia="es-ES_tradnl"/>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37B80" w:rsidRPr="00937B80" w:rsidRDefault="00937B80" w:rsidP="00937B80">
            <w:pPr>
              <w:jc w:val="both"/>
              <w:rPr>
                <w:rFonts w:ascii="Arial" w:eastAsia="Times New Roman" w:hAnsi="Arial" w:cs="Arial"/>
                <w:lang w:val="es-CO" w:eastAsia="es-ES_tradnl"/>
              </w:rPr>
            </w:pPr>
            <w:hyperlink r:id="rId4" w:tooltip="Estatuto Tributario CETA" w:history="1">
              <w:r w:rsidRPr="00937B80">
                <w:rPr>
                  <w:rFonts w:ascii="Arial" w:eastAsia="Times New Roman" w:hAnsi="Arial" w:cs="Arial"/>
                  <w:color w:val="0089E1"/>
                  <w:sz w:val="20"/>
                  <w:szCs w:val="20"/>
                  <w:u w:val="single"/>
                  <w:lang w:val="es-CO" w:eastAsia="es-ES_tradnl"/>
                </w:rPr>
                <w:t>Artículo 24</w:t>
              </w:r>
            </w:hyperlink>
            <w:r w:rsidRPr="00937B80">
              <w:rPr>
                <w:rFonts w:ascii="Arial" w:eastAsia="Times New Roman" w:hAnsi="Arial" w:cs="Arial"/>
                <w:sz w:val="20"/>
                <w:szCs w:val="20"/>
                <w:lang w:val="es-CO" w:eastAsia="es-ES_tradnl"/>
              </w:rPr>
              <w:t> del Estatuto Tributario.</w:t>
            </w:r>
          </w:p>
          <w:p w:rsidR="00937B80" w:rsidRPr="00937B80" w:rsidRDefault="00937B80" w:rsidP="00937B80">
            <w:pPr>
              <w:jc w:val="both"/>
              <w:rPr>
                <w:rFonts w:ascii="Arial" w:eastAsia="Times New Roman" w:hAnsi="Arial" w:cs="Arial"/>
                <w:lang w:val="es-CO" w:eastAsia="es-ES_tradnl"/>
              </w:rPr>
            </w:pPr>
            <w:r w:rsidRPr="00937B80">
              <w:rPr>
                <w:rFonts w:ascii="Arial" w:eastAsia="Times New Roman" w:hAnsi="Arial" w:cs="Arial"/>
                <w:sz w:val="20"/>
                <w:szCs w:val="20"/>
                <w:lang w:val="es-CO" w:eastAsia="es-ES_tradnl"/>
              </w:rPr>
              <w:t>Oficio No. 08997 de 2008.</w:t>
            </w:r>
          </w:p>
          <w:p w:rsidR="00937B80" w:rsidRPr="00937B80" w:rsidRDefault="00937B80" w:rsidP="00937B80">
            <w:pPr>
              <w:jc w:val="both"/>
              <w:rPr>
                <w:rFonts w:ascii="Arial" w:eastAsia="Times New Roman" w:hAnsi="Arial" w:cs="Arial"/>
                <w:lang w:val="es-CO" w:eastAsia="es-ES_tradnl"/>
              </w:rPr>
            </w:pPr>
            <w:r w:rsidRPr="00937B80">
              <w:rPr>
                <w:rFonts w:ascii="Arial" w:eastAsia="Times New Roman" w:hAnsi="Arial" w:cs="Arial"/>
                <w:sz w:val="20"/>
                <w:szCs w:val="20"/>
                <w:lang w:val="es-CO" w:eastAsia="es-ES_tradnl"/>
              </w:rPr>
              <w:t>Concepto No. 042159 de 2009.</w:t>
            </w:r>
          </w:p>
        </w:tc>
      </w:tr>
    </w:tbl>
    <w:p w:rsidR="00937B80" w:rsidRPr="00937B80" w:rsidRDefault="00937B80" w:rsidP="00937B80">
      <w:pPr>
        <w:jc w:val="both"/>
        <w:rPr>
          <w:rFonts w:ascii="Arial" w:eastAsia="Times New Roman" w:hAnsi="Arial" w:cs="Arial"/>
          <w:color w:val="000000"/>
          <w:sz w:val="18"/>
          <w:szCs w:val="18"/>
          <w:lang w:val="es-CO" w:eastAsia="es-ES_tradnl"/>
        </w:rPr>
      </w:pPr>
      <w:r w:rsidRPr="00937B80">
        <w:rPr>
          <w:rFonts w:ascii="Arial" w:eastAsia="Times New Roman" w:hAnsi="Arial" w:cs="Arial"/>
          <w:color w:val="000000"/>
          <w:sz w:val="18"/>
          <w:szCs w:val="18"/>
          <w:lang w:val="es-CO" w:eastAsia="es-ES_tradnl"/>
        </w:rPr>
        <w:t> </w:t>
      </w:r>
    </w:p>
    <w:p w:rsidR="00937B80" w:rsidRPr="00937B80" w:rsidRDefault="00937B80" w:rsidP="00937B80">
      <w:pPr>
        <w:jc w:val="both"/>
        <w:rPr>
          <w:rFonts w:ascii="Arial" w:eastAsia="Times New Roman" w:hAnsi="Arial" w:cs="Arial"/>
          <w:color w:val="000000"/>
          <w:sz w:val="18"/>
          <w:szCs w:val="18"/>
          <w:lang w:val="es-CO" w:eastAsia="es-ES_tradnl"/>
        </w:rPr>
      </w:pPr>
      <w:r w:rsidRPr="00937B80">
        <w:rPr>
          <w:rFonts w:ascii="Arial" w:eastAsia="Times New Roman" w:hAnsi="Arial" w:cs="Arial"/>
          <w:color w:val="000000"/>
          <w:sz w:val="18"/>
          <w:szCs w:val="18"/>
          <w:lang w:val="es-CO" w:eastAsia="es-ES_tradnl"/>
        </w:rPr>
        <w:t> </w:t>
      </w:r>
    </w:p>
    <w:p w:rsidR="00937B80" w:rsidRPr="00937B80" w:rsidRDefault="00937B80" w:rsidP="00937B80">
      <w:pPr>
        <w:jc w:val="both"/>
        <w:rPr>
          <w:rFonts w:ascii="Arial" w:eastAsia="Times New Roman" w:hAnsi="Arial" w:cs="Arial"/>
          <w:color w:val="000000"/>
          <w:sz w:val="18"/>
          <w:szCs w:val="18"/>
          <w:lang w:val="es-CO" w:eastAsia="es-ES_tradnl"/>
        </w:rPr>
      </w:pPr>
      <w:r w:rsidRPr="00937B80">
        <w:rPr>
          <w:rFonts w:ascii="Arial" w:eastAsia="Times New Roman" w:hAnsi="Arial" w:cs="Arial"/>
          <w:color w:val="000000"/>
          <w:sz w:val="18"/>
          <w:szCs w:val="18"/>
          <w:lang w:val="es-CO" w:eastAsia="es-ES_tradnl"/>
        </w:rPr>
        <w:t>Cordial saludo, Señora Rojas Franco:</w:t>
      </w:r>
    </w:p>
    <w:p w:rsidR="00937B80" w:rsidRPr="00937B80" w:rsidRDefault="00937B80" w:rsidP="00937B80">
      <w:pPr>
        <w:jc w:val="both"/>
        <w:rPr>
          <w:rFonts w:ascii="Arial" w:eastAsia="Times New Roman" w:hAnsi="Arial" w:cs="Arial"/>
          <w:color w:val="000000"/>
          <w:sz w:val="18"/>
          <w:szCs w:val="18"/>
          <w:lang w:val="es-CO" w:eastAsia="es-ES_tradnl"/>
        </w:rPr>
      </w:pPr>
      <w:r w:rsidRPr="00937B80">
        <w:rPr>
          <w:rFonts w:ascii="Arial" w:eastAsia="Times New Roman" w:hAnsi="Arial" w:cs="Arial"/>
          <w:color w:val="000000"/>
          <w:sz w:val="18"/>
          <w:szCs w:val="18"/>
          <w:lang w:val="es-CO" w:eastAsia="es-ES_tradnl"/>
        </w:rPr>
        <w:t> </w:t>
      </w:r>
    </w:p>
    <w:p w:rsidR="00937B80" w:rsidRPr="00937B80" w:rsidRDefault="00937B80" w:rsidP="00937B80">
      <w:pPr>
        <w:jc w:val="both"/>
        <w:rPr>
          <w:rFonts w:ascii="Arial" w:eastAsia="Times New Roman" w:hAnsi="Arial" w:cs="Arial"/>
          <w:color w:val="000000"/>
          <w:sz w:val="18"/>
          <w:szCs w:val="18"/>
          <w:lang w:val="es-CO" w:eastAsia="es-ES_tradnl"/>
        </w:rPr>
      </w:pPr>
      <w:r w:rsidRPr="00937B80">
        <w:rPr>
          <w:rFonts w:ascii="Arial" w:eastAsia="Times New Roman" w:hAnsi="Arial" w:cs="Arial"/>
          <w:color w:val="000000"/>
          <w:sz w:val="18"/>
          <w:szCs w:val="18"/>
          <w:lang w:val="es-CO" w:eastAsia="es-ES_tradnl"/>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937B80" w:rsidRPr="00937B80" w:rsidRDefault="00937B80" w:rsidP="00937B80">
      <w:pPr>
        <w:jc w:val="both"/>
        <w:rPr>
          <w:rFonts w:ascii="Arial" w:eastAsia="Times New Roman" w:hAnsi="Arial" w:cs="Arial"/>
          <w:color w:val="000000"/>
          <w:sz w:val="18"/>
          <w:szCs w:val="18"/>
          <w:lang w:val="es-CO" w:eastAsia="es-ES_tradnl"/>
        </w:rPr>
      </w:pPr>
      <w:r w:rsidRPr="00937B80">
        <w:rPr>
          <w:rFonts w:ascii="Arial" w:eastAsia="Times New Roman" w:hAnsi="Arial" w:cs="Arial"/>
          <w:color w:val="000000"/>
          <w:sz w:val="18"/>
          <w:szCs w:val="18"/>
          <w:lang w:val="es-CO" w:eastAsia="es-ES_tradnl"/>
        </w:rPr>
        <w:t> </w:t>
      </w:r>
    </w:p>
    <w:p w:rsidR="00937B80" w:rsidRPr="00937B80" w:rsidRDefault="00937B80" w:rsidP="00937B80">
      <w:pPr>
        <w:jc w:val="both"/>
        <w:rPr>
          <w:rFonts w:ascii="Arial" w:eastAsia="Times New Roman" w:hAnsi="Arial" w:cs="Arial"/>
          <w:color w:val="000000"/>
          <w:sz w:val="18"/>
          <w:szCs w:val="18"/>
          <w:lang w:val="es-CO" w:eastAsia="es-ES_tradnl"/>
        </w:rPr>
      </w:pPr>
      <w:r w:rsidRPr="00937B80">
        <w:rPr>
          <w:rFonts w:ascii="Arial" w:eastAsia="Times New Roman" w:hAnsi="Arial" w:cs="Arial"/>
          <w:color w:val="000000"/>
          <w:sz w:val="18"/>
          <w:szCs w:val="18"/>
          <w:lang w:val="es-CO" w:eastAsia="es-ES_tradnl"/>
        </w:rPr>
        <w:t>Corresponde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937B80" w:rsidRPr="00937B80" w:rsidRDefault="00937B80" w:rsidP="00937B80">
      <w:pPr>
        <w:jc w:val="both"/>
        <w:rPr>
          <w:rFonts w:ascii="Arial" w:eastAsia="Times New Roman" w:hAnsi="Arial" w:cs="Arial"/>
          <w:color w:val="000000"/>
          <w:sz w:val="18"/>
          <w:szCs w:val="18"/>
          <w:lang w:val="es-CO" w:eastAsia="es-ES_tradnl"/>
        </w:rPr>
      </w:pPr>
      <w:r w:rsidRPr="00937B80">
        <w:rPr>
          <w:rFonts w:ascii="Arial" w:eastAsia="Times New Roman" w:hAnsi="Arial" w:cs="Arial"/>
          <w:color w:val="000000"/>
          <w:sz w:val="18"/>
          <w:szCs w:val="18"/>
          <w:lang w:val="es-CO" w:eastAsia="es-ES_tradnl"/>
        </w:rPr>
        <w:t> </w:t>
      </w:r>
    </w:p>
    <w:p w:rsidR="00937B80" w:rsidRPr="00937B80" w:rsidRDefault="00937B80" w:rsidP="00937B80">
      <w:pPr>
        <w:jc w:val="both"/>
        <w:rPr>
          <w:rFonts w:ascii="Arial" w:eastAsia="Times New Roman" w:hAnsi="Arial" w:cs="Arial"/>
          <w:color w:val="000000"/>
          <w:sz w:val="18"/>
          <w:szCs w:val="18"/>
          <w:lang w:val="es-CO" w:eastAsia="es-ES_tradnl"/>
        </w:rPr>
      </w:pPr>
      <w:r w:rsidRPr="00937B80">
        <w:rPr>
          <w:rFonts w:ascii="Arial" w:eastAsia="Times New Roman" w:hAnsi="Arial" w:cs="Arial"/>
          <w:color w:val="000000"/>
          <w:sz w:val="18"/>
          <w:szCs w:val="18"/>
          <w:lang w:val="es-CO" w:eastAsia="es-ES_tradnl"/>
        </w:rPr>
        <w:t>En atención a la consulta, en la que solicita:</w:t>
      </w:r>
    </w:p>
    <w:p w:rsidR="00937B80" w:rsidRPr="00937B80" w:rsidRDefault="00937B80" w:rsidP="00937B80">
      <w:pPr>
        <w:ind w:left="180"/>
        <w:jc w:val="both"/>
        <w:rPr>
          <w:rFonts w:ascii="Arial" w:eastAsia="Times New Roman" w:hAnsi="Arial" w:cs="Arial"/>
          <w:color w:val="000000"/>
          <w:sz w:val="18"/>
          <w:szCs w:val="18"/>
          <w:lang w:val="es-CO" w:eastAsia="es-ES_tradnl"/>
        </w:rPr>
      </w:pPr>
      <w:r w:rsidRPr="00937B80">
        <w:rPr>
          <w:rFonts w:ascii="Arial" w:eastAsia="Times New Roman" w:hAnsi="Arial" w:cs="Arial"/>
          <w:color w:val="000000"/>
          <w:sz w:val="18"/>
          <w:szCs w:val="18"/>
          <w:lang w:val="es-CO" w:eastAsia="es-ES_tradnl"/>
        </w:rPr>
        <w:t> </w:t>
      </w:r>
    </w:p>
    <w:p w:rsidR="00937B80" w:rsidRPr="00937B80" w:rsidRDefault="00937B80" w:rsidP="00937B80">
      <w:pPr>
        <w:ind w:left="180"/>
        <w:jc w:val="both"/>
        <w:rPr>
          <w:rFonts w:ascii="Arial" w:eastAsia="Times New Roman" w:hAnsi="Arial" w:cs="Arial"/>
          <w:color w:val="000000"/>
          <w:sz w:val="18"/>
          <w:szCs w:val="18"/>
          <w:lang w:val="es-CO" w:eastAsia="es-ES_tradnl"/>
        </w:rPr>
      </w:pPr>
      <w:r w:rsidRPr="00937B80">
        <w:rPr>
          <w:rFonts w:ascii="Arial" w:eastAsia="Times New Roman" w:hAnsi="Arial" w:cs="Arial"/>
          <w:i/>
          <w:iCs/>
          <w:color w:val="000000"/>
          <w:sz w:val="18"/>
          <w:szCs w:val="18"/>
          <w:u w:val="single"/>
          <w:lang w:val="es-CO" w:eastAsia="es-ES_tradnl"/>
        </w:rPr>
        <w:t>1. Retención en la fuente por pagos al exterior por servicios de pauta publicitaria en revista del exterior. Solicito dar claridad sobre el efecto de retención en la fuente sobre el tema en referencia, ya que me encuentro con el siguiente caso de una de las empresas que visito</w:t>
      </w:r>
      <w:r w:rsidRPr="00937B80">
        <w:rPr>
          <w:rFonts w:ascii="Arial" w:eastAsia="Times New Roman" w:hAnsi="Arial" w:cs="Arial"/>
          <w:i/>
          <w:iCs/>
          <w:color w:val="000000"/>
          <w:sz w:val="18"/>
          <w:szCs w:val="18"/>
          <w:lang w:val="es-CO" w:eastAsia="es-ES_tradnl"/>
        </w:rPr>
        <w:t>.</w:t>
      </w:r>
    </w:p>
    <w:p w:rsidR="00937B80" w:rsidRPr="00937B80" w:rsidRDefault="00937B80" w:rsidP="00937B80">
      <w:pPr>
        <w:ind w:left="180"/>
        <w:jc w:val="both"/>
        <w:rPr>
          <w:rFonts w:ascii="Arial" w:eastAsia="Times New Roman" w:hAnsi="Arial" w:cs="Arial"/>
          <w:color w:val="000000"/>
          <w:sz w:val="18"/>
          <w:szCs w:val="18"/>
          <w:lang w:val="es-CO" w:eastAsia="es-ES_tradnl"/>
        </w:rPr>
      </w:pPr>
      <w:r w:rsidRPr="00937B80">
        <w:rPr>
          <w:rFonts w:ascii="Arial" w:eastAsia="Times New Roman" w:hAnsi="Arial" w:cs="Arial"/>
          <w:i/>
          <w:iCs/>
          <w:color w:val="000000"/>
          <w:sz w:val="18"/>
          <w:szCs w:val="18"/>
          <w:lang w:val="es-CO" w:eastAsia="es-ES_tradnl"/>
        </w:rPr>
        <w:t> </w:t>
      </w:r>
    </w:p>
    <w:p w:rsidR="00937B80" w:rsidRPr="00937B80" w:rsidRDefault="00937B80" w:rsidP="00937B80">
      <w:pPr>
        <w:ind w:left="180"/>
        <w:jc w:val="both"/>
        <w:rPr>
          <w:rFonts w:ascii="Arial" w:eastAsia="Times New Roman" w:hAnsi="Arial" w:cs="Arial"/>
          <w:color w:val="000000"/>
          <w:sz w:val="18"/>
          <w:szCs w:val="18"/>
          <w:lang w:val="es-CO" w:eastAsia="es-ES_tradnl"/>
        </w:rPr>
      </w:pPr>
      <w:r w:rsidRPr="00937B80">
        <w:rPr>
          <w:rFonts w:ascii="Arial" w:eastAsia="Times New Roman" w:hAnsi="Arial" w:cs="Arial"/>
          <w:i/>
          <w:iCs/>
          <w:color w:val="000000"/>
          <w:sz w:val="18"/>
          <w:szCs w:val="18"/>
          <w:u w:val="single"/>
          <w:lang w:val="es-CO" w:eastAsia="es-ES_tradnl"/>
        </w:rPr>
        <w:t>La empresa necesitó realizar el pago por una pauta publicitaria en el exterior por valor de $3.500 dólares, si bien es cierto el </w:t>
      </w:r>
      <w:hyperlink r:id="rId5" w:tooltip="Estatuto Tributario CETA" w:history="1">
        <w:r w:rsidRPr="00937B80">
          <w:rPr>
            <w:rFonts w:ascii="Arial" w:eastAsia="Times New Roman" w:hAnsi="Arial" w:cs="Arial"/>
            <w:i/>
            <w:iCs/>
            <w:color w:val="0089E1"/>
            <w:sz w:val="18"/>
            <w:szCs w:val="18"/>
            <w:u w:val="single"/>
            <w:lang w:val="es-CO" w:eastAsia="es-ES_tradnl"/>
          </w:rPr>
          <w:t>artículo 408</w:t>
        </w:r>
      </w:hyperlink>
      <w:r w:rsidRPr="00937B80">
        <w:rPr>
          <w:rFonts w:ascii="Arial" w:eastAsia="Times New Roman" w:hAnsi="Arial" w:cs="Arial"/>
          <w:i/>
          <w:iCs/>
          <w:color w:val="000000"/>
          <w:sz w:val="18"/>
          <w:szCs w:val="18"/>
          <w:u w:val="single"/>
          <w:lang w:val="es-CO" w:eastAsia="es-ES_tradnl"/>
        </w:rPr>
        <w:t> del E.T. menciona ciertos conceptos para los cuales se les debe aplicar el 20% pero no menciona los de pauta publicitaria, a su vez el </w:t>
      </w:r>
      <w:hyperlink r:id="rId6" w:tooltip="Estatuto Tributario CETA" w:history="1">
        <w:r w:rsidRPr="00937B80">
          <w:rPr>
            <w:rFonts w:ascii="Arial" w:eastAsia="Times New Roman" w:hAnsi="Arial" w:cs="Arial"/>
            <w:i/>
            <w:iCs/>
            <w:color w:val="0089E1"/>
            <w:sz w:val="18"/>
            <w:szCs w:val="18"/>
            <w:u w:val="single"/>
            <w:lang w:val="es-CO" w:eastAsia="es-ES_tradnl"/>
          </w:rPr>
          <w:t>artículo 415</w:t>
        </w:r>
      </w:hyperlink>
      <w:r w:rsidRPr="00937B80">
        <w:rPr>
          <w:rFonts w:ascii="Arial" w:eastAsia="Times New Roman" w:hAnsi="Arial" w:cs="Arial"/>
          <w:i/>
          <w:iCs/>
          <w:color w:val="000000"/>
          <w:sz w:val="18"/>
          <w:szCs w:val="18"/>
          <w:u w:val="single"/>
          <w:lang w:val="es-CO" w:eastAsia="es-ES_tradnl"/>
        </w:rPr>
        <w:t> me refiere que los demás conceptos no tenidos en cuenta en los artículos anteriores se les deberá practicar el 15%, solicito por favor claridad sobre cuál debería ser la retención a practicar por este concepto</w:t>
      </w:r>
      <w:r w:rsidRPr="00937B80">
        <w:rPr>
          <w:rFonts w:ascii="Arial" w:eastAsia="Times New Roman" w:hAnsi="Arial" w:cs="Arial"/>
          <w:i/>
          <w:iCs/>
          <w:color w:val="000000"/>
          <w:sz w:val="18"/>
          <w:szCs w:val="18"/>
          <w:lang w:val="es-CO" w:eastAsia="es-ES_tradnl"/>
        </w:rPr>
        <w:t>.</w:t>
      </w:r>
    </w:p>
    <w:p w:rsidR="00937B80" w:rsidRPr="00937B80" w:rsidRDefault="00937B80" w:rsidP="00937B80">
      <w:pPr>
        <w:jc w:val="both"/>
        <w:rPr>
          <w:rFonts w:ascii="Arial" w:eastAsia="Times New Roman" w:hAnsi="Arial" w:cs="Arial"/>
          <w:color w:val="000000"/>
          <w:sz w:val="18"/>
          <w:szCs w:val="18"/>
          <w:lang w:val="es-CO" w:eastAsia="es-ES_tradnl"/>
        </w:rPr>
      </w:pPr>
      <w:r w:rsidRPr="00937B80">
        <w:rPr>
          <w:rFonts w:ascii="Arial" w:eastAsia="Times New Roman" w:hAnsi="Arial" w:cs="Arial"/>
          <w:color w:val="000000"/>
          <w:sz w:val="18"/>
          <w:szCs w:val="18"/>
          <w:lang w:val="es-CO" w:eastAsia="es-ES_tradnl"/>
        </w:rPr>
        <w:t> </w:t>
      </w:r>
    </w:p>
    <w:p w:rsidR="00937B80" w:rsidRPr="00937B80" w:rsidRDefault="00937B80" w:rsidP="00937B80">
      <w:pPr>
        <w:jc w:val="both"/>
        <w:rPr>
          <w:rFonts w:ascii="Arial" w:eastAsia="Times New Roman" w:hAnsi="Arial" w:cs="Arial"/>
          <w:color w:val="000000"/>
          <w:sz w:val="18"/>
          <w:szCs w:val="18"/>
          <w:lang w:val="es-CO" w:eastAsia="es-ES_tradnl"/>
        </w:rPr>
      </w:pPr>
      <w:r w:rsidRPr="00937B80">
        <w:rPr>
          <w:rFonts w:ascii="Arial" w:eastAsia="Times New Roman" w:hAnsi="Arial" w:cs="Arial"/>
          <w:color w:val="000000"/>
          <w:sz w:val="18"/>
          <w:szCs w:val="18"/>
          <w:lang w:val="es-CO" w:eastAsia="es-ES_tradnl"/>
        </w:rPr>
        <w:t>El </w:t>
      </w:r>
      <w:hyperlink r:id="rId7" w:tooltip="Estatuto Tributario CETA" w:history="1">
        <w:r w:rsidRPr="00937B80">
          <w:rPr>
            <w:rFonts w:ascii="Arial" w:eastAsia="Times New Roman" w:hAnsi="Arial" w:cs="Arial"/>
            <w:color w:val="0089E1"/>
            <w:sz w:val="18"/>
            <w:szCs w:val="18"/>
            <w:u w:val="single"/>
            <w:lang w:val="es-CO" w:eastAsia="es-ES_tradnl"/>
          </w:rPr>
          <w:t>artículo 24</w:t>
        </w:r>
      </w:hyperlink>
      <w:r w:rsidRPr="00937B80">
        <w:rPr>
          <w:rFonts w:ascii="Arial" w:eastAsia="Times New Roman" w:hAnsi="Arial" w:cs="Arial"/>
          <w:color w:val="000000"/>
          <w:sz w:val="18"/>
          <w:szCs w:val="18"/>
          <w:lang w:val="es-CO" w:eastAsia="es-ES_tradnl"/>
        </w:rPr>
        <w:t> del Estatuto Tributario indica cuáles ingresos se consideran de fuente nacional, sin embargo, se encuentran ciertas excepciones en el </w:t>
      </w:r>
      <w:hyperlink r:id="rId8" w:tooltip="Estatuto Tributario CETA" w:history="1">
        <w:r w:rsidRPr="00937B80">
          <w:rPr>
            <w:rFonts w:ascii="Arial" w:eastAsia="Times New Roman" w:hAnsi="Arial" w:cs="Arial"/>
            <w:color w:val="0089E1"/>
            <w:sz w:val="18"/>
            <w:szCs w:val="18"/>
            <w:u w:val="single"/>
            <w:lang w:val="es-CO" w:eastAsia="es-ES_tradnl"/>
          </w:rPr>
          <w:t>artículo 25</w:t>
        </w:r>
      </w:hyperlink>
      <w:r w:rsidRPr="00937B80">
        <w:rPr>
          <w:rFonts w:ascii="Arial" w:eastAsia="Times New Roman" w:hAnsi="Arial" w:cs="Arial"/>
          <w:color w:val="000000"/>
          <w:sz w:val="18"/>
          <w:szCs w:val="18"/>
          <w:lang w:val="es-CO" w:eastAsia="es-ES_tradnl"/>
        </w:rPr>
        <w:t> del mismo Estatuto</w:t>
      </w:r>
    </w:p>
    <w:p w:rsidR="00937B80" w:rsidRPr="00937B80" w:rsidRDefault="00937B80" w:rsidP="00937B80">
      <w:pPr>
        <w:jc w:val="both"/>
        <w:rPr>
          <w:rFonts w:ascii="Arial" w:eastAsia="Times New Roman" w:hAnsi="Arial" w:cs="Arial"/>
          <w:color w:val="000000"/>
          <w:sz w:val="18"/>
          <w:szCs w:val="18"/>
          <w:lang w:val="es-CO" w:eastAsia="es-ES_tradnl"/>
        </w:rPr>
      </w:pPr>
      <w:r w:rsidRPr="00937B80">
        <w:rPr>
          <w:rFonts w:ascii="Arial" w:eastAsia="Times New Roman" w:hAnsi="Arial" w:cs="Arial"/>
          <w:color w:val="000000"/>
          <w:sz w:val="18"/>
          <w:szCs w:val="18"/>
          <w:lang w:val="es-CO" w:eastAsia="es-ES_tradnl"/>
        </w:rPr>
        <w:t> </w:t>
      </w:r>
    </w:p>
    <w:p w:rsidR="00937B80" w:rsidRPr="00937B80" w:rsidRDefault="00937B80" w:rsidP="00937B80">
      <w:pPr>
        <w:jc w:val="both"/>
        <w:rPr>
          <w:rFonts w:ascii="Arial" w:eastAsia="Times New Roman" w:hAnsi="Arial" w:cs="Arial"/>
          <w:color w:val="000000"/>
          <w:sz w:val="18"/>
          <w:szCs w:val="18"/>
          <w:lang w:val="es-CO" w:eastAsia="es-ES_tradnl"/>
        </w:rPr>
      </w:pPr>
      <w:r w:rsidRPr="00937B80">
        <w:rPr>
          <w:rFonts w:ascii="Arial" w:eastAsia="Times New Roman" w:hAnsi="Arial" w:cs="Arial"/>
          <w:color w:val="000000"/>
          <w:sz w:val="18"/>
          <w:szCs w:val="18"/>
          <w:lang w:val="es-CO" w:eastAsia="es-ES_tradnl"/>
        </w:rPr>
        <w:t>De conformidad con el inciso 1º del </w:t>
      </w:r>
      <w:hyperlink r:id="rId9" w:tooltip="Estatuto Tributario CETA" w:history="1">
        <w:r w:rsidRPr="00937B80">
          <w:rPr>
            <w:rFonts w:ascii="Arial" w:eastAsia="Times New Roman" w:hAnsi="Arial" w:cs="Arial"/>
            <w:color w:val="0089E1"/>
            <w:sz w:val="18"/>
            <w:szCs w:val="18"/>
            <w:u w:val="single"/>
            <w:lang w:val="es-CO" w:eastAsia="es-ES_tradnl"/>
          </w:rPr>
          <w:t>artículo 24</w:t>
        </w:r>
      </w:hyperlink>
      <w:r w:rsidRPr="00937B80">
        <w:rPr>
          <w:rFonts w:ascii="Arial" w:eastAsia="Times New Roman" w:hAnsi="Arial" w:cs="Arial"/>
          <w:color w:val="000000"/>
          <w:sz w:val="18"/>
          <w:szCs w:val="18"/>
          <w:lang w:val="es-CO" w:eastAsia="es-ES_tradnl"/>
        </w:rPr>
        <w:t> se consideran ingresos de fuente nacional los provenientes de la explotación de bienes materiales e inmateriales dentro del país </w:t>
      </w:r>
      <w:r w:rsidRPr="00937B80">
        <w:rPr>
          <w:rFonts w:ascii="Arial" w:eastAsia="Times New Roman" w:hAnsi="Arial" w:cs="Arial"/>
          <w:color w:val="000000"/>
          <w:sz w:val="18"/>
          <w:szCs w:val="18"/>
          <w:u w:val="single"/>
          <w:lang w:val="es-CO" w:eastAsia="es-ES_tradnl"/>
        </w:rPr>
        <w:t>y la prestación de servicios dentro de su territorio</w:t>
      </w:r>
      <w:r w:rsidRPr="00937B80">
        <w:rPr>
          <w:rFonts w:ascii="Arial" w:eastAsia="Times New Roman" w:hAnsi="Arial" w:cs="Arial"/>
          <w:color w:val="000000"/>
          <w:sz w:val="18"/>
          <w:szCs w:val="18"/>
          <w:lang w:val="es-CO" w:eastAsia="es-ES_tradnl"/>
        </w:rPr>
        <w:t>, de manera permanente o transitoria, con o sin establecimiento propio. También constituyen ingresos de fuente nacional los obtenidos en la enajenación de bienes materiales e inmateriales, a cualquier título, que se encuentren dentro del país al momento de su enajenación. Adicionalmente los ingresos recibidos por la prestación servicios servicio (sic) técnico o asistencia técnica, aunque prestados desde el exterior se consideran de fuente nacional.</w:t>
      </w:r>
    </w:p>
    <w:p w:rsidR="00937B80" w:rsidRPr="00937B80" w:rsidRDefault="00937B80" w:rsidP="00937B80">
      <w:pPr>
        <w:jc w:val="both"/>
        <w:rPr>
          <w:rFonts w:ascii="Arial" w:eastAsia="Times New Roman" w:hAnsi="Arial" w:cs="Arial"/>
          <w:color w:val="000000"/>
          <w:sz w:val="18"/>
          <w:szCs w:val="18"/>
          <w:lang w:val="es-CO" w:eastAsia="es-ES_tradnl"/>
        </w:rPr>
      </w:pPr>
      <w:r w:rsidRPr="00937B80">
        <w:rPr>
          <w:rFonts w:ascii="Arial" w:eastAsia="Times New Roman" w:hAnsi="Arial" w:cs="Arial"/>
          <w:color w:val="000000"/>
          <w:sz w:val="18"/>
          <w:szCs w:val="18"/>
          <w:lang w:val="es-CO" w:eastAsia="es-ES_tradnl"/>
        </w:rPr>
        <w:t> </w:t>
      </w:r>
    </w:p>
    <w:p w:rsidR="00937B80" w:rsidRPr="00937B80" w:rsidRDefault="00937B80" w:rsidP="00937B80">
      <w:pPr>
        <w:jc w:val="both"/>
        <w:rPr>
          <w:rFonts w:ascii="Arial" w:eastAsia="Times New Roman" w:hAnsi="Arial" w:cs="Arial"/>
          <w:color w:val="000000"/>
          <w:sz w:val="18"/>
          <w:szCs w:val="18"/>
          <w:lang w:val="es-CO" w:eastAsia="es-ES_tradnl"/>
        </w:rPr>
      </w:pPr>
      <w:r w:rsidRPr="00937B80">
        <w:rPr>
          <w:rFonts w:ascii="Arial" w:eastAsia="Times New Roman" w:hAnsi="Arial" w:cs="Arial"/>
          <w:color w:val="000000"/>
          <w:sz w:val="18"/>
          <w:szCs w:val="18"/>
          <w:lang w:val="es-CO" w:eastAsia="es-ES_tradnl"/>
        </w:rPr>
        <w:t>Esta disposición es un desarrollo del llamado “principio de territorialidad” o “estatuto real” que permite gravar la riqueza en el territorio donde se produce, que, para efectos del impuesto de renta, es el lugar donde se desarrolla la actividad o se presta el servicio que genera el ingreso. (Oficio No. 08997 de 2008).</w:t>
      </w:r>
    </w:p>
    <w:p w:rsidR="00937B80" w:rsidRPr="00937B80" w:rsidRDefault="00937B80" w:rsidP="00937B80">
      <w:pPr>
        <w:jc w:val="both"/>
        <w:rPr>
          <w:rFonts w:ascii="Arial" w:eastAsia="Times New Roman" w:hAnsi="Arial" w:cs="Arial"/>
          <w:color w:val="000000"/>
          <w:sz w:val="18"/>
          <w:szCs w:val="18"/>
          <w:lang w:val="es-CO" w:eastAsia="es-ES_tradnl"/>
        </w:rPr>
      </w:pPr>
      <w:r w:rsidRPr="00937B80">
        <w:rPr>
          <w:rFonts w:ascii="Arial" w:eastAsia="Times New Roman" w:hAnsi="Arial" w:cs="Arial"/>
          <w:color w:val="000000"/>
          <w:sz w:val="18"/>
          <w:szCs w:val="18"/>
          <w:lang w:val="es-CO" w:eastAsia="es-ES_tradnl"/>
        </w:rPr>
        <w:t> </w:t>
      </w:r>
    </w:p>
    <w:p w:rsidR="00937B80" w:rsidRPr="00937B80" w:rsidRDefault="00937B80" w:rsidP="00937B80">
      <w:pPr>
        <w:jc w:val="both"/>
        <w:rPr>
          <w:rFonts w:ascii="Arial" w:eastAsia="Times New Roman" w:hAnsi="Arial" w:cs="Arial"/>
          <w:color w:val="000000"/>
          <w:sz w:val="18"/>
          <w:szCs w:val="18"/>
          <w:lang w:val="es-CO" w:eastAsia="es-ES_tradnl"/>
        </w:rPr>
      </w:pPr>
      <w:r w:rsidRPr="00937B80">
        <w:rPr>
          <w:rFonts w:ascii="Arial" w:eastAsia="Times New Roman" w:hAnsi="Arial" w:cs="Arial"/>
          <w:color w:val="000000"/>
          <w:sz w:val="18"/>
          <w:szCs w:val="18"/>
          <w:lang w:val="es-CO" w:eastAsia="es-ES_tradnl"/>
        </w:rPr>
        <w:t>Por otro lado, el Concepto No. 042159 de 2009 indicó lo siguiente sobre el servicio de publicidad:</w:t>
      </w:r>
    </w:p>
    <w:p w:rsidR="00937B80" w:rsidRPr="00937B80" w:rsidRDefault="00937B80" w:rsidP="00937B80">
      <w:pPr>
        <w:ind w:left="180"/>
        <w:jc w:val="both"/>
        <w:rPr>
          <w:rFonts w:ascii="Arial" w:eastAsia="Times New Roman" w:hAnsi="Arial" w:cs="Arial"/>
          <w:color w:val="000000"/>
          <w:sz w:val="18"/>
          <w:szCs w:val="18"/>
          <w:lang w:val="es-CO" w:eastAsia="es-ES_tradnl"/>
        </w:rPr>
      </w:pPr>
      <w:r w:rsidRPr="00937B80">
        <w:rPr>
          <w:rFonts w:ascii="Arial" w:eastAsia="Times New Roman" w:hAnsi="Arial" w:cs="Arial"/>
          <w:i/>
          <w:iCs/>
          <w:color w:val="000000"/>
          <w:sz w:val="18"/>
          <w:szCs w:val="18"/>
          <w:lang w:val="es-CO" w:eastAsia="es-ES_tradnl"/>
        </w:rPr>
        <w:t> </w:t>
      </w:r>
    </w:p>
    <w:p w:rsidR="00937B80" w:rsidRPr="00937B80" w:rsidRDefault="00937B80" w:rsidP="00937B80">
      <w:pPr>
        <w:ind w:left="180"/>
        <w:jc w:val="both"/>
        <w:rPr>
          <w:rFonts w:ascii="Arial" w:eastAsia="Times New Roman" w:hAnsi="Arial" w:cs="Arial"/>
          <w:color w:val="000000"/>
          <w:sz w:val="18"/>
          <w:szCs w:val="18"/>
          <w:lang w:val="es-CO" w:eastAsia="es-ES_tradnl"/>
        </w:rPr>
      </w:pPr>
      <w:r w:rsidRPr="00937B80">
        <w:rPr>
          <w:rFonts w:ascii="Arial" w:eastAsia="Times New Roman" w:hAnsi="Arial" w:cs="Arial"/>
          <w:i/>
          <w:iCs/>
          <w:color w:val="000000"/>
          <w:sz w:val="18"/>
          <w:szCs w:val="18"/>
          <w:lang w:val="es-CO" w:eastAsia="es-ES_tradnl"/>
        </w:rPr>
        <w:lastRenderedPageBreak/>
        <w:t>Sea lo primero observar, que para efectos de retención en la fuente por publicidad –honorarios- ya se pronunció la Entidad mediante diversos medios, entre estos el Concepto 042388 del 9 de julio de 2002 que resolvió una consulta relacionada con la utilización de una página WEB, acudiendo para ello a la definición, de manera usual y técnica, de los términos publicar y publicidad, así como de servicio, concluyendo que </w:t>
      </w:r>
      <w:r w:rsidRPr="00937B80">
        <w:rPr>
          <w:rFonts w:ascii="Arial" w:eastAsia="Times New Roman" w:hAnsi="Arial" w:cs="Arial"/>
          <w:b/>
          <w:bCs/>
          <w:i/>
          <w:iCs/>
          <w:color w:val="000000"/>
          <w:sz w:val="18"/>
          <w:szCs w:val="18"/>
          <w:lang w:val="es-CO" w:eastAsia="es-ES_tradnl"/>
        </w:rPr>
        <w:t>la publicidad es un servicio especializado-cualificado </w:t>
      </w:r>
      <w:r w:rsidRPr="00937B80">
        <w:rPr>
          <w:rFonts w:ascii="Arial" w:eastAsia="Times New Roman" w:hAnsi="Arial" w:cs="Arial"/>
          <w:i/>
          <w:iCs/>
          <w:color w:val="000000"/>
          <w:sz w:val="18"/>
          <w:szCs w:val="18"/>
          <w:lang w:val="es-CO" w:eastAsia="es-ES_tradnl"/>
        </w:rPr>
        <w:t>que requiere de medios idóneos para transmitir al público el mensaje que lleva implícito, bien sea que se trate de un tema comercial o no, toda vez que en uno y otro caso, se contrata para pasar a través de un medio específico una noticia o cosa.</w:t>
      </w:r>
    </w:p>
    <w:p w:rsidR="00937B80" w:rsidRPr="00937B80" w:rsidRDefault="00937B80" w:rsidP="00937B80">
      <w:pPr>
        <w:ind w:left="180"/>
        <w:jc w:val="both"/>
        <w:rPr>
          <w:rFonts w:ascii="Arial" w:eastAsia="Times New Roman" w:hAnsi="Arial" w:cs="Arial"/>
          <w:color w:val="000000"/>
          <w:sz w:val="18"/>
          <w:szCs w:val="18"/>
          <w:lang w:val="es-CO" w:eastAsia="es-ES_tradnl"/>
        </w:rPr>
      </w:pPr>
      <w:r w:rsidRPr="00937B80">
        <w:rPr>
          <w:rFonts w:ascii="Arial" w:eastAsia="Times New Roman" w:hAnsi="Arial" w:cs="Arial"/>
          <w:i/>
          <w:iCs/>
          <w:color w:val="000000"/>
          <w:sz w:val="18"/>
          <w:szCs w:val="18"/>
          <w:lang w:val="es-CO" w:eastAsia="es-ES_tradnl"/>
        </w:rPr>
        <w:t> </w:t>
      </w:r>
    </w:p>
    <w:p w:rsidR="00937B80" w:rsidRPr="00937B80" w:rsidRDefault="00937B80" w:rsidP="00937B80">
      <w:pPr>
        <w:ind w:left="180"/>
        <w:jc w:val="both"/>
        <w:rPr>
          <w:rFonts w:ascii="Arial" w:eastAsia="Times New Roman" w:hAnsi="Arial" w:cs="Arial"/>
          <w:color w:val="000000"/>
          <w:sz w:val="18"/>
          <w:szCs w:val="18"/>
          <w:lang w:val="es-CO" w:eastAsia="es-ES_tradnl"/>
        </w:rPr>
      </w:pPr>
      <w:r w:rsidRPr="00937B80">
        <w:rPr>
          <w:rFonts w:ascii="Arial" w:eastAsia="Times New Roman" w:hAnsi="Arial" w:cs="Arial"/>
          <w:i/>
          <w:iCs/>
          <w:color w:val="000000"/>
          <w:sz w:val="18"/>
          <w:szCs w:val="18"/>
          <w:lang w:val="es-CO" w:eastAsia="es-ES_tradnl"/>
        </w:rPr>
        <w:t>Precisado lo anterior, frente a la radio, televisión o prensa, igualmente </w:t>
      </w:r>
      <w:r w:rsidRPr="00937B80">
        <w:rPr>
          <w:rFonts w:ascii="Arial" w:eastAsia="Times New Roman" w:hAnsi="Arial" w:cs="Arial"/>
          <w:b/>
          <w:bCs/>
          <w:i/>
          <w:iCs/>
          <w:color w:val="000000"/>
          <w:sz w:val="18"/>
          <w:szCs w:val="18"/>
          <w:lang w:val="es-CO" w:eastAsia="es-ES_tradnl"/>
        </w:rPr>
        <w:t>se está en presencia de medios especializados para divulgar toda clase de campaña publicitaria, por lo que los ingresos que se perciben por ese motivo están sometidos a retención en la fuente, a título de renta, por concepto de honorarios, </w:t>
      </w:r>
      <w:r w:rsidRPr="00937B80">
        <w:rPr>
          <w:rFonts w:ascii="Arial" w:eastAsia="Times New Roman" w:hAnsi="Arial" w:cs="Arial"/>
          <w:i/>
          <w:iCs/>
          <w:color w:val="000000"/>
          <w:sz w:val="18"/>
          <w:szCs w:val="18"/>
          <w:lang w:val="es-CO" w:eastAsia="es-ES_tradnl"/>
        </w:rPr>
        <w:t>independientemente de que implique la elaboración del mensaje o la sola transmisión por parte de quien cuenta con el espacio para surtir el efecto difusor.</w:t>
      </w:r>
    </w:p>
    <w:p w:rsidR="00937B80" w:rsidRPr="00937B80" w:rsidRDefault="00937B80" w:rsidP="00937B80">
      <w:pPr>
        <w:jc w:val="both"/>
        <w:rPr>
          <w:rFonts w:ascii="Arial" w:eastAsia="Times New Roman" w:hAnsi="Arial" w:cs="Arial"/>
          <w:color w:val="000000"/>
          <w:sz w:val="18"/>
          <w:szCs w:val="18"/>
          <w:lang w:val="es-CO" w:eastAsia="es-ES_tradnl"/>
        </w:rPr>
      </w:pPr>
      <w:r w:rsidRPr="00937B80">
        <w:rPr>
          <w:rFonts w:ascii="Arial" w:eastAsia="Times New Roman" w:hAnsi="Arial" w:cs="Arial"/>
          <w:color w:val="000000"/>
          <w:sz w:val="18"/>
          <w:szCs w:val="18"/>
          <w:lang w:val="es-CO" w:eastAsia="es-ES_tradnl"/>
        </w:rPr>
        <w:t> </w:t>
      </w:r>
    </w:p>
    <w:p w:rsidR="00937B80" w:rsidRPr="00937B80" w:rsidRDefault="00937B80" w:rsidP="00937B80">
      <w:pPr>
        <w:jc w:val="both"/>
        <w:rPr>
          <w:rFonts w:ascii="Arial" w:eastAsia="Times New Roman" w:hAnsi="Arial" w:cs="Arial"/>
          <w:color w:val="000000"/>
          <w:sz w:val="18"/>
          <w:szCs w:val="18"/>
          <w:lang w:val="es-CO" w:eastAsia="es-ES_tradnl"/>
        </w:rPr>
      </w:pPr>
      <w:r w:rsidRPr="00937B80">
        <w:rPr>
          <w:rFonts w:ascii="Arial" w:eastAsia="Times New Roman" w:hAnsi="Arial" w:cs="Arial"/>
          <w:color w:val="000000"/>
          <w:sz w:val="18"/>
          <w:szCs w:val="18"/>
          <w:lang w:val="es-CO" w:eastAsia="es-ES_tradnl"/>
        </w:rPr>
        <w:t>De acuerdo con lo anterior, para que los ingresos sean considerados de fuente nacional se requiere que se trate de la explotación de bienes materiales o inmateriales, la prestación de servicios dentro del país o desde el exterior en ciertos casos o la enajenación de bienes materiales o inmateriales que se encuentren dentro del país en el momento de su enajenación;</w:t>
      </w:r>
    </w:p>
    <w:p w:rsidR="00937B80" w:rsidRPr="00937B80" w:rsidRDefault="00937B80" w:rsidP="00937B80">
      <w:pPr>
        <w:jc w:val="both"/>
        <w:rPr>
          <w:rFonts w:ascii="Arial" w:eastAsia="Times New Roman" w:hAnsi="Arial" w:cs="Arial"/>
          <w:color w:val="000000"/>
          <w:sz w:val="18"/>
          <w:szCs w:val="18"/>
          <w:lang w:val="es-CO" w:eastAsia="es-ES_tradnl"/>
        </w:rPr>
      </w:pPr>
      <w:r w:rsidRPr="00937B80">
        <w:rPr>
          <w:rFonts w:ascii="Arial" w:eastAsia="Times New Roman" w:hAnsi="Arial" w:cs="Arial"/>
          <w:color w:val="000000"/>
          <w:sz w:val="18"/>
          <w:szCs w:val="18"/>
          <w:lang w:val="es-CO" w:eastAsia="es-ES_tradnl"/>
        </w:rPr>
        <w:t> </w:t>
      </w:r>
    </w:p>
    <w:p w:rsidR="00937B80" w:rsidRPr="00937B80" w:rsidRDefault="00937B80" w:rsidP="00937B80">
      <w:pPr>
        <w:jc w:val="both"/>
        <w:rPr>
          <w:rFonts w:ascii="Arial" w:eastAsia="Times New Roman" w:hAnsi="Arial" w:cs="Arial"/>
          <w:color w:val="000000"/>
          <w:sz w:val="18"/>
          <w:szCs w:val="18"/>
          <w:lang w:val="es-CO" w:eastAsia="es-ES_tradnl"/>
        </w:rPr>
      </w:pPr>
      <w:r w:rsidRPr="00937B80">
        <w:rPr>
          <w:rFonts w:ascii="Arial" w:eastAsia="Times New Roman" w:hAnsi="Arial" w:cs="Arial"/>
          <w:color w:val="000000"/>
          <w:sz w:val="18"/>
          <w:szCs w:val="18"/>
          <w:lang w:val="es-CO" w:eastAsia="es-ES_tradnl"/>
        </w:rPr>
        <w:t>En este orden de ideas, si se celebra un contrato de publicidad entre un anunciante nacional y una revista internacional, que tenga por objeto divulgar pautas publicitarias en el extranjero, o de igual forma que la publicidad se ejecuta en el extranjero los ingresos percibidos por la empresa extranjera, se consideran de fuente extranjera y, por tanto, no están sujetos a retención en la fuente a título de renta.</w:t>
      </w:r>
    </w:p>
    <w:p w:rsidR="00937B80" w:rsidRPr="00937B80" w:rsidRDefault="00937B80" w:rsidP="00937B80">
      <w:pPr>
        <w:jc w:val="both"/>
        <w:rPr>
          <w:rFonts w:ascii="Arial" w:eastAsia="Times New Roman" w:hAnsi="Arial" w:cs="Arial"/>
          <w:color w:val="000000"/>
          <w:sz w:val="18"/>
          <w:szCs w:val="18"/>
          <w:lang w:val="es-CO" w:eastAsia="es-ES_tradnl"/>
        </w:rPr>
      </w:pPr>
      <w:r w:rsidRPr="00937B80">
        <w:rPr>
          <w:rFonts w:ascii="Arial" w:eastAsia="Times New Roman" w:hAnsi="Arial" w:cs="Arial"/>
          <w:color w:val="000000"/>
          <w:sz w:val="18"/>
          <w:szCs w:val="18"/>
          <w:lang w:val="es-CO" w:eastAsia="es-ES_tradnl"/>
        </w:rPr>
        <w:t> </w:t>
      </w:r>
    </w:p>
    <w:p w:rsidR="00937B80" w:rsidRPr="00937B80" w:rsidRDefault="00937B80" w:rsidP="00937B80">
      <w:pPr>
        <w:jc w:val="both"/>
        <w:rPr>
          <w:rFonts w:ascii="Arial" w:eastAsia="Times New Roman" w:hAnsi="Arial" w:cs="Arial"/>
          <w:color w:val="000000"/>
          <w:sz w:val="18"/>
          <w:szCs w:val="18"/>
          <w:lang w:val="es-CO" w:eastAsia="es-ES_tradnl"/>
        </w:rPr>
      </w:pPr>
      <w:r w:rsidRPr="00937B80">
        <w:rPr>
          <w:rFonts w:ascii="Arial" w:eastAsia="Times New Roman" w:hAnsi="Arial" w:cs="Arial"/>
          <w:color w:val="000000"/>
          <w:sz w:val="18"/>
          <w:szCs w:val="18"/>
          <w:lang w:val="es-CO" w:eastAsia="es-ES_tradnl"/>
        </w:rPr>
        <w:t>En los anteriores términos se resuelve su consulta y finalmente le manifestamos que la Dirección de Impuestos y Aduanas Nacionales –DIAN-, con el fin de facilitar a los contribuyentes, usuarios y público en general el acceso directo a sus pronunciamientos doctrinarios, ha publicado en su página de internet </w:t>
      </w:r>
      <w:hyperlink r:id="rId10" w:history="1">
        <w:r w:rsidRPr="00937B80">
          <w:rPr>
            <w:rFonts w:ascii="Arial" w:eastAsia="Times New Roman" w:hAnsi="Arial" w:cs="Arial"/>
            <w:color w:val="0563C1"/>
            <w:sz w:val="18"/>
            <w:szCs w:val="18"/>
            <w:u w:val="single"/>
            <w:lang w:val="es-CO" w:eastAsia="es-ES_tradnl"/>
          </w:rPr>
          <w:t>www.dian.gov.co</w:t>
        </w:r>
      </w:hyperlink>
      <w:r w:rsidRPr="00937B80">
        <w:rPr>
          <w:rFonts w:ascii="Arial" w:eastAsia="Times New Roman" w:hAnsi="Arial" w:cs="Arial"/>
          <w:color w:val="000000"/>
          <w:sz w:val="18"/>
          <w:szCs w:val="18"/>
          <w:lang w:val="es-CO" w:eastAsia="es-ES_tradnl"/>
        </w:rPr>
        <w:t>, la base de conceptos en materia tributaria, aduanera y cambiaria expedidos desde el año 2001, la cual se puede ingresar por el ícono de “Normatividad” -“técnica”-, dando click en el link “Doctrina Dirección de Gestión Jurídica”.</w:t>
      </w:r>
    </w:p>
    <w:p w:rsidR="00937B80" w:rsidRPr="00937B80" w:rsidRDefault="00937B80" w:rsidP="00937B80">
      <w:pPr>
        <w:jc w:val="both"/>
        <w:rPr>
          <w:rFonts w:ascii="Arial" w:eastAsia="Times New Roman" w:hAnsi="Arial" w:cs="Arial"/>
          <w:color w:val="000000"/>
          <w:sz w:val="18"/>
          <w:szCs w:val="18"/>
          <w:lang w:val="es-CO" w:eastAsia="es-ES_tradnl"/>
        </w:rPr>
      </w:pPr>
      <w:r w:rsidRPr="00937B80">
        <w:rPr>
          <w:rFonts w:ascii="Arial" w:eastAsia="Times New Roman" w:hAnsi="Arial" w:cs="Arial"/>
          <w:color w:val="000000"/>
          <w:sz w:val="18"/>
          <w:szCs w:val="18"/>
          <w:lang w:val="es-CO" w:eastAsia="es-ES_tradnl"/>
        </w:rPr>
        <w:t> </w:t>
      </w:r>
    </w:p>
    <w:p w:rsidR="00937B80" w:rsidRPr="00937B80" w:rsidRDefault="00937B80" w:rsidP="00937B80">
      <w:pPr>
        <w:jc w:val="both"/>
        <w:rPr>
          <w:rFonts w:ascii="Arial" w:eastAsia="Times New Roman" w:hAnsi="Arial" w:cs="Arial"/>
          <w:color w:val="000000"/>
          <w:sz w:val="18"/>
          <w:szCs w:val="18"/>
          <w:lang w:val="es-CO" w:eastAsia="es-ES_tradnl"/>
        </w:rPr>
      </w:pPr>
      <w:r w:rsidRPr="00937B80">
        <w:rPr>
          <w:rFonts w:ascii="Arial" w:eastAsia="Times New Roman" w:hAnsi="Arial" w:cs="Arial"/>
          <w:color w:val="000000"/>
          <w:sz w:val="18"/>
          <w:szCs w:val="18"/>
          <w:lang w:val="es-CO" w:eastAsia="es-ES_tradnl"/>
        </w:rPr>
        <w:t>Atentamente,</w:t>
      </w:r>
    </w:p>
    <w:p w:rsidR="00937B80" w:rsidRPr="00937B80" w:rsidRDefault="00937B80" w:rsidP="00937B80">
      <w:pPr>
        <w:jc w:val="both"/>
        <w:rPr>
          <w:rFonts w:ascii="Arial" w:eastAsia="Times New Roman" w:hAnsi="Arial" w:cs="Arial"/>
          <w:color w:val="000000"/>
          <w:sz w:val="18"/>
          <w:szCs w:val="18"/>
          <w:lang w:val="es-CO" w:eastAsia="es-ES_tradnl"/>
        </w:rPr>
      </w:pPr>
      <w:r w:rsidRPr="00937B80">
        <w:rPr>
          <w:rFonts w:ascii="Arial" w:eastAsia="Times New Roman" w:hAnsi="Arial" w:cs="Arial"/>
          <w:color w:val="000000"/>
          <w:sz w:val="18"/>
          <w:szCs w:val="18"/>
          <w:lang w:val="es-CO" w:eastAsia="es-ES_tradnl"/>
        </w:rPr>
        <w:t> </w:t>
      </w:r>
    </w:p>
    <w:p w:rsidR="00937B80" w:rsidRPr="00937B80" w:rsidRDefault="00937B80" w:rsidP="00937B80">
      <w:pPr>
        <w:jc w:val="both"/>
        <w:rPr>
          <w:rFonts w:ascii="Arial" w:eastAsia="Times New Roman" w:hAnsi="Arial" w:cs="Arial"/>
          <w:color w:val="000000"/>
          <w:sz w:val="18"/>
          <w:szCs w:val="18"/>
          <w:lang w:val="es-CO" w:eastAsia="es-ES_tradnl"/>
        </w:rPr>
      </w:pPr>
      <w:r w:rsidRPr="00937B80">
        <w:rPr>
          <w:rFonts w:ascii="Arial" w:eastAsia="Times New Roman" w:hAnsi="Arial" w:cs="Arial"/>
          <w:color w:val="000000"/>
          <w:sz w:val="18"/>
          <w:szCs w:val="18"/>
          <w:lang w:val="es-CO" w:eastAsia="es-ES_tradnl"/>
        </w:rPr>
        <w:t> </w:t>
      </w:r>
    </w:p>
    <w:p w:rsidR="00937B80" w:rsidRPr="00937B80" w:rsidRDefault="00937B80" w:rsidP="00937B80">
      <w:pPr>
        <w:jc w:val="both"/>
        <w:rPr>
          <w:rFonts w:ascii="Arial" w:eastAsia="Times New Roman" w:hAnsi="Arial" w:cs="Arial"/>
          <w:color w:val="000000"/>
          <w:sz w:val="18"/>
          <w:szCs w:val="18"/>
          <w:lang w:val="es-CO" w:eastAsia="es-ES_tradnl"/>
        </w:rPr>
      </w:pPr>
      <w:r w:rsidRPr="00937B80">
        <w:rPr>
          <w:rFonts w:ascii="Arial" w:eastAsia="Times New Roman" w:hAnsi="Arial" w:cs="Arial"/>
          <w:b/>
          <w:bCs/>
          <w:color w:val="000000"/>
          <w:sz w:val="18"/>
          <w:szCs w:val="18"/>
          <w:lang w:val="es-CO" w:eastAsia="es-ES_tradnl"/>
        </w:rPr>
        <w:t>LORENZO CASTILLO BARVO</w:t>
      </w:r>
    </w:p>
    <w:p w:rsidR="00937B80" w:rsidRPr="00937B80" w:rsidRDefault="00937B80" w:rsidP="00937B80">
      <w:pPr>
        <w:jc w:val="both"/>
        <w:rPr>
          <w:rFonts w:ascii="Arial" w:eastAsia="Times New Roman" w:hAnsi="Arial" w:cs="Arial"/>
          <w:color w:val="000000"/>
          <w:sz w:val="18"/>
          <w:szCs w:val="18"/>
          <w:lang w:val="es-CO" w:eastAsia="es-ES_tradnl"/>
        </w:rPr>
      </w:pPr>
      <w:r w:rsidRPr="00937B80">
        <w:rPr>
          <w:rFonts w:ascii="Arial" w:eastAsia="Times New Roman" w:hAnsi="Arial" w:cs="Arial"/>
          <w:color w:val="000000"/>
          <w:sz w:val="18"/>
          <w:szCs w:val="18"/>
          <w:lang w:val="es-CO" w:eastAsia="es-ES_tradnl"/>
        </w:rPr>
        <w:t>Subdirector de Gestión Normativa y Doctrina (E)</w:t>
      </w:r>
    </w:p>
    <w:p w:rsidR="00937B80" w:rsidRPr="00937B80" w:rsidRDefault="00937B80" w:rsidP="00937B80">
      <w:pPr>
        <w:jc w:val="both"/>
        <w:rPr>
          <w:rFonts w:ascii="Arial" w:eastAsia="Times New Roman" w:hAnsi="Arial" w:cs="Arial"/>
          <w:color w:val="000000"/>
          <w:sz w:val="18"/>
          <w:szCs w:val="18"/>
          <w:lang w:val="es-CO" w:eastAsia="es-ES_tradnl"/>
        </w:rPr>
      </w:pPr>
      <w:r w:rsidRPr="00937B80">
        <w:rPr>
          <w:rFonts w:ascii="Arial" w:eastAsia="Times New Roman" w:hAnsi="Arial" w:cs="Arial"/>
          <w:color w:val="000000"/>
          <w:sz w:val="18"/>
          <w:szCs w:val="18"/>
          <w:lang w:val="es-CO" w:eastAsia="es-ES_tradnl"/>
        </w:rPr>
        <w:t>Dirección de Gestión Jurídica</w:t>
      </w:r>
    </w:p>
    <w:p w:rsidR="00937B80" w:rsidRPr="00937B80" w:rsidRDefault="00937B80" w:rsidP="00937B80">
      <w:pPr>
        <w:jc w:val="both"/>
        <w:rPr>
          <w:rFonts w:ascii="Arial" w:eastAsia="Times New Roman" w:hAnsi="Arial" w:cs="Arial"/>
          <w:color w:val="000000"/>
          <w:sz w:val="18"/>
          <w:szCs w:val="18"/>
          <w:lang w:val="es-CO" w:eastAsia="es-ES_tradnl"/>
        </w:rPr>
      </w:pPr>
      <w:r w:rsidRPr="00937B80">
        <w:rPr>
          <w:rFonts w:ascii="Arial" w:eastAsia="Times New Roman" w:hAnsi="Arial" w:cs="Arial"/>
          <w:color w:val="000000"/>
          <w:sz w:val="18"/>
          <w:szCs w:val="18"/>
          <w:lang w:val="es-CO" w:eastAsia="es-ES_tradnl"/>
        </w:rPr>
        <w:t>UAE-Dirección de Impuestos y Aduanas Nacionales</w:t>
      </w:r>
    </w:p>
    <w:p w:rsidR="00B77BE4" w:rsidRPr="00937B80" w:rsidRDefault="00B77BE4">
      <w:pPr>
        <w:rPr>
          <w:lang w:val="es-CO"/>
        </w:rPr>
      </w:pPr>
    </w:p>
    <w:sectPr w:rsidR="00B77BE4" w:rsidRPr="00937B80" w:rsidSect="00A34E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B80"/>
    <w:rsid w:val="00937B80"/>
    <w:rsid w:val="00A34E9D"/>
    <w:rsid w:val="00B77BE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0B1A"/>
  <w14:defaultImageDpi w14:val="32767"/>
  <w15:chartTrackingRefBased/>
  <w15:docId w15:val="{9CDF4730-5BA0-B44E-A65A-978A054C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37B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61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5"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5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13" TargetMode="External"/><Relationship Id="rId11" Type="http://schemas.openxmlformats.org/officeDocument/2006/relationships/fontTable" Target="fontTable.xml"/><Relationship Id="rId5" Type="http://schemas.openxmlformats.org/officeDocument/2006/relationships/hyperlink" Target="https://www.ceta.org.co/html/vista_de_un_articulo.asp?Norma=506" TargetMode="External"/><Relationship Id="rId10" Type="http://schemas.openxmlformats.org/officeDocument/2006/relationships/hyperlink" Target="http://www.dian.gov.co/" TargetMode="External"/><Relationship Id="rId4" Type="http://schemas.openxmlformats.org/officeDocument/2006/relationships/hyperlink" Target="https://www.ceta.org.co/html/vista_de_un_articulo.asp?Norma=54" TargetMode="External"/><Relationship Id="rId9" Type="http://schemas.openxmlformats.org/officeDocument/2006/relationships/hyperlink" Target="https://www.ceta.org.co/html/vista_de_un_articulo.asp?Norma=5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1023</Words>
  <Characters>5628</Characters>
  <Application>Microsoft Office Word</Application>
  <DocSecurity>0</DocSecurity>
  <Lines>46</Lines>
  <Paragraphs>13</Paragraphs>
  <ScaleCrop>false</ScaleCrop>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cote</dc:creator>
  <cp:keywords/>
  <dc:description/>
  <cp:lastModifiedBy>gustavo cote</cp:lastModifiedBy>
  <cp:revision>1</cp:revision>
  <dcterms:created xsi:type="dcterms:W3CDTF">2019-06-20T12:20:00Z</dcterms:created>
  <dcterms:modified xsi:type="dcterms:W3CDTF">2019-06-20T12:21:00Z</dcterms:modified>
</cp:coreProperties>
</file>