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3B" w:rsidRPr="0043493B" w:rsidRDefault="0043493B" w:rsidP="004349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1424 [0</w:t>
      </w:r>
      <w:bookmarkStart w:id="0" w:name="_GoBack"/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15099</w:t>
      </w:r>
      <w:bookmarkEnd w:id="0"/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]</w:t>
      </w:r>
    </w:p>
    <w:p w:rsidR="0043493B" w:rsidRPr="0043493B" w:rsidRDefault="0043493B" w:rsidP="004349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11-06-2019</w:t>
      </w:r>
    </w:p>
    <w:p w:rsidR="0043493B" w:rsidRPr="0043493B" w:rsidRDefault="0043493B" w:rsidP="004349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Subdirección de Gestión Normativa y Doctrina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100208221 – 001424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Bogotá, D.C.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proofErr w:type="spellStart"/>
      <w:r w:rsidRPr="0043493B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Ref</w:t>
      </w:r>
      <w:proofErr w:type="spellEnd"/>
      <w:r w:rsidRPr="0043493B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: </w:t>
      </w: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Radicado 100027336 del 29/04/2019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83"/>
        <w:gridCol w:w="283"/>
        <w:gridCol w:w="4522"/>
      </w:tblGrid>
      <w:tr w:rsidR="0043493B" w:rsidRPr="0043493B" w:rsidTr="0043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Retención en la fuente</w:t>
            </w:r>
          </w:p>
        </w:tc>
      </w:tr>
      <w:tr w:rsidR="0043493B" w:rsidRPr="0043493B" w:rsidTr="0043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Retención en la Fuente</w:t>
            </w:r>
          </w:p>
        </w:tc>
      </w:tr>
      <w:tr w:rsidR="0043493B" w:rsidRPr="0043493B" w:rsidTr="0043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Ley 80 de 1993 - Artículo 32</w:t>
            </w:r>
          </w:p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Decreto 1514 de 1998 - Artículo 3</w:t>
            </w:r>
          </w:p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Decreto 3050 de 1997 - Artículo 29</w:t>
            </w:r>
          </w:p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Decreto 1625 de 2016 - Artículo 1.6.1.4.3</w:t>
            </w:r>
          </w:p>
          <w:p w:rsidR="0043493B" w:rsidRPr="0043493B" w:rsidRDefault="0043493B" w:rsidP="0043493B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43493B">
              <w:rPr>
                <w:rFonts w:ascii="Segoe UI" w:eastAsia="Times New Roman" w:hAnsi="Segoe UI" w:cs="Segoe UI"/>
                <w:szCs w:val="20"/>
                <w:lang w:eastAsia="es-CO"/>
              </w:rPr>
              <w:t>Resolución 000228 de 2013</w:t>
            </w:r>
          </w:p>
        </w:tc>
      </w:tr>
    </w:tbl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Cordial saludo señora Sandra: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De conformidad con lo preceptuado en el artículo 20 del Decreto 4048 de 2008 este Despacho está facultado para resolver las consultas que se formulen sobre la interpretación y aplicación de las normas tributarias, aduaneras y cambiarias, en el marco de la competencia asignada a la Dirección de Impuestos y Aduanas Nacionales.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Previo a analizar la consulta planteada, consideramos necesario explicar que, de acuerdo con las competencias funcionales de este despacho los pronunciamientos emitidos en respuesta a peticiones allegadas se resuelven con base a criterios legales de interpretación de las normas jurídicas, los cuales se encuentran consagrados en el Código Civil.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Así mismo, las respuestas emitidas son una adecuación en abstracto de las normas vigentes a situaciones concretas, las cuales no tienen como fin solucionar problemáticas individuales, ni juzgar, valorar o asesorar a otras dependencias, entidades públicas y/o privadas en el desarrollo de sus actividades, funciones y competencias.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Mediante escrito radicado 100027336 del 29 de abril de 2019 esta Subdirección recibió la consulta por medio de la que se solicita resolver las siguientes inquietudes: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1. ¿Es posible para la Fiduciaria recibir las facturas a nombre y con el NIT del Organismo Distrital, para que sean causadas en la contabilidad del negocio fiduciario y practicadas las respectivas retenciones en la fuente a los diferentes contratistas y proveedores?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lastRenderedPageBreak/>
        <w:t>2. ¿Es posible para la Fiduciaria incluir en sus declaraciones tributarias las retenciones practicadas sobre facturas que no están a su nombre?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En atención a la consulta, se procede a analizar las siguientes consideraciones: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Sobre la primera pregunta, este despacho se ha pronunciado con anterioridad sobre la naturaleza de los encargos fiduciarios de entidades públicas, mediante el Oficio 015883 de junio 19 de 2018 y el Oficio 001862 de octubre 17 de 2018, concluyendo que estos se remiten a lo previsto en el numeral 5 del artículo 32 de la Ley 80 de 1993.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Al respecto, el primer Oficio referenciado señaló: </w:t>
      </w: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“</w:t>
      </w: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u w:val="single"/>
          <w:lang w:eastAsia="es-CO"/>
        </w:rPr>
        <w:t>Los encargos fiduciarios que celebren las entidades estatales con las sociedades fiduciarias autorizadas por la Superintendencia Bancaria, tendrán por objeto la administración o el manejo de los recursos vinculados a los contratos que tales entidades celebren</w:t>
      </w: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. Lo anterior sin perjuicio de lo previsto en el numeral 20 del artículo 25 de esta Ley. -Principio de economía-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Por lo anterior, no queda duda que </w:t>
      </w: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u w:val="single"/>
          <w:lang w:eastAsia="es-CO"/>
        </w:rPr>
        <w:t>para efectos tributarios es el fiduciario quien debe hacer la retención en su calidad de agente de retención y mandatario cuando se trate de la ocurrencia de los hechos generadores de la retención, y es quien debe cumplir las obligaciones de agente de retención</w:t>
      </w: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 (…).” </w:t>
      </w: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(subrayado fuera de texto)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Del texto transcrito se evidencia que la gestión del encargo fiduciario se asimila a la de un mandato, ya que en este escenario no se constituye un patrimonio autónomo, dado a que las sociedades fiduciarias solo están facultadas para administrar los recursos relacionados a los contratos que celebren las entidades estatales.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En consecuencia, el fiduciario debe cumplir con las obligaciones tributarias que deriven de este tipo de contrato, contempladas en el artículo 3 del Decreto 1514 de 1998, el artículo 29 del Decreto 3050 de 1997 -artículo 1.2.4.11 del Decreto 1625 de 2016- y la Resolución 000228 de 2013. A saber: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i) Expedir facturas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ii) Recibir facturas a su nombre por la adquisición de bienes y servicios para el mandante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iii) Practicar retención en la fuente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proofErr w:type="spellStart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iv</w:t>
      </w:r>
      <w:proofErr w:type="spellEnd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) Expedir certificados que soporten los costos, deducciones, impuestos descontables o devoluciones a que tenga derecho el mandante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v) Suministrar información de su contabilidad al mandante respecto a los ingresos recibidos para él y las erogaciones que han sido efectuadas por cuenta de este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A su vez, el artículo 1.6.1.4.3 del Decreto Único 1625 de 2016 regula específicamente la facturación del mandato, indicando: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“En los contratos de mandato, las facturas deberán ser expedidas en todos los casos por el mandatario.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lastRenderedPageBreak/>
        <w:t> </w:t>
      </w:r>
    </w:p>
    <w:p w:rsidR="0043493B" w:rsidRPr="0043493B" w:rsidRDefault="0043493B" w:rsidP="0043493B">
      <w:pPr>
        <w:shd w:val="clear" w:color="auto" w:fill="FFFFFF"/>
        <w:ind w:left="180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Si el mandatario adquiere bienes o servicios en cumplimiento del mandato, la factura deberá ser expedida a nombre del mandatario (...)”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Como se evidencia, las facturas correspondientes a la adquisición de bienes o servicios para la entidad estatal deben estar a nombre del mandatario. De lo contrario este no podrá cumplir con las obligaciones previamente listadas.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En consecuencia, se concluye que la sociedad fiduciaria en su calidad de </w:t>
      </w:r>
      <w:proofErr w:type="gramStart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mandatario,</w:t>
      </w:r>
      <w:proofErr w:type="gramEnd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 no podrá recibir las facturas a nombre y con el NIT de la entidad estatal.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De lo anterior se deriva, como respuesta a la segunda pregunta, que no es posible para el mandatario practicar la retención en la fuente sobre las facturas que no estén a su nombre.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En los anteriores términos se resuelve su consulta, y cordialmente le informamos que tanto la normatividad en materia tributaria, aduanera y cambiaria, como los conceptos emitidos por la Dirección de Gestión Jurídica en estas materias pueden consultarse directamente en nuestra base de datos jurídica ingresando a la página electrónica de la DIAN: </w:t>
      </w:r>
      <w:hyperlink r:id="rId5" w:history="1">
        <w:r w:rsidRPr="0043493B">
          <w:rPr>
            <w:rFonts w:ascii="Segoe UI" w:eastAsia="Times New Roman" w:hAnsi="Segoe UI" w:cs="Segoe UI"/>
            <w:color w:val="0563C1"/>
            <w:sz w:val="22"/>
            <w:szCs w:val="18"/>
            <w:u w:val="single"/>
            <w:lang w:eastAsia="es-CO"/>
          </w:rPr>
          <w:t>https://www.dian.gov.co</w:t>
        </w:r>
      </w:hyperlink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siguiendo íconos “Normatividad” – “Técnica” y seleccionando los vínculos “Doctrina” y “Dirección de Gestión Jurídica”.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Atentamente,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 xml:space="preserve">LORENZO CASTILLO </w:t>
      </w:r>
      <w:proofErr w:type="spellStart"/>
      <w:r w:rsidRPr="0043493B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BARVO</w:t>
      </w:r>
      <w:proofErr w:type="spellEnd"/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Subdirector de Gestión Normativa y Doctrina (E)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Dirección de Gestión Jurídica</w:t>
      </w:r>
    </w:p>
    <w:p w:rsidR="0043493B" w:rsidRPr="0043493B" w:rsidRDefault="0043493B" w:rsidP="0043493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proofErr w:type="spellStart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UAE</w:t>
      </w:r>
      <w:proofErr w:type="spellEnd"/>
      <w:r w:rsidRPr="0043493B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 – Dirección de Impuestos y Aduanas Nacionales</w:t>
      </w:r>
    </w:p>
    <w:p w:rsidR="00E575A2" w:rsidRDefault="00E575A2"/>
    <w:sectPr w:rsidR="00E57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686"/>
    <w:multiLevelType w:val="multilevel"/>
    <w:tmpl w:val="B5C281AA"/>
    <w:lvl w:ilvl="0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1"/>
        </w:tabs>
        <w:ind w:left="1071" w:hanging="84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0"/>
        </w:tabs>
        <w:ind w:left="16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left="18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8"/>
        </w:tabs>
        <w:ind w:left="19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2"/>
        </w:tabs>
        <w:ind w:left="2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6"/>
        </w:tabs>
        <w:ind w:left="2246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B"/>
    <w:rsid w:val="00032B8C"/>
    <w:rsid w:val="0005100D"/>
    <w:rsid w:val="00054B30"/>
    <w:rsid w:val="0008165D"/>
    <w:rsid w:val="00144A96"/>
    <w:rsid w:val="00154C6E"/>
    <w:rsid w:val="00207C55"/>
    <w:rsid w:val="00240A17"/>
    <w:rsid w:val="003337F4"/>
    <w:rsid w:val="00382101"/>
    <w:rsid w:val="003F37C3"/>
    <w:rsid w:val="00432C53"/>
    <w:rsid w:val="0043493B"/>
    <w:rsid w:val="007808E5"/>
    <w:rsid w:val="00C44B09"/>
    <w:rsid w:val="00DB3416"/>
    <w:rsid w:val="00E575A2"/>
    <w:rsid w:val="00F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599FAE-FD5D-4BE5-8054-20A6C17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E5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40A17"/>
    <w:pPr>
      <w:keepNext/>
      <w:numPr>
        <w:numId w:val="1"/>
      </w:numPr>
      <w:spacing w:before="480" w:after="18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40A17"/>
    <w:pPr>
      <w:keepNext/>
      <w:numPr>
        <w:ilvl w:val="1"/>
        <w:numId w:val="2"/>
      </w:numPr>
      <w:spacing w:before="360" w:after="18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F349D0"/>
    <w:pPr>
      <w:ind w:left="1418"/>
    </w:pPr>
    <w:rPr>
      <w:iCs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F349D0"/>
    <w:rPr>
      <w:rFonts w:ascii="Verdana" w:hAnsi="Verdana"/>
      <w:iCs/>
      <w:sz w:val="18"/>
    </w:rPr>
  </w:style>
  <w:style w:type="character" w:customStyle="1" w:styleId="Ttulo2Car">
    <w:name w:val="Título 2 Car"/>
    <w:link w:val="Ttulo2"/>
    <w:rsid w:val="00240A17"/>
    <w:rPr>
      <w:rFonts w:ascii="Verdana" w:hAnsi="Verdana" w:cs="Arial"/>
      <w:b/>
      <w:bCs/>
      <w:iCs/>
      <w:szCs w:val="28"/>
    </w:rPr>
  </w:style>
  <w:style w:type="character" w:customStyle="1" w:styleId="Ttulo1Car">
    <w:name w:val="Título 1 Car"/>
    <w:link w:val="Ttulo1"/>
    <w:rsid w:val="00240A17"/>
    <w:rPr>
      <w:rFonts w:ascii="Arial" w:hAnsi="Arial" w:cs="Arial"/>
      <w:b/>
      <w:bCs/>
      <w:kern w:val="32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C44B09"/>
    <w:pPr>
      <w:tabs>
        <w:tab w:val="center" w:pos="4419"/>
        <w:tab w:val="right" w:pos="8838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B09"/>
    <w:rPr>
      <w:rFonts w:ascii="Verdana" w:hAnsi="Verdana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101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101"/>
    <w:rPr>
      <w:rFonts w:ascii="Verdana" w:hAnsi="Verdana" w:cs="Times New Roman"/>
      <w:sz w:val="16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3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n.gov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Delgado</dc:creator>
  <cp:keywords/>
  <dc:description/>
  <cp:lastModifiedBy>Alejandro Delgado</cp:lastModifiedBy>
  <cp:revision>1</cp:revision>
  <dcterms:created xsi:type="dcterms:W3CDTF">2019-08-02T16:40:00Z</dcterms:created>
  <dcterms:modified xsi:type="dcterms:W3CDTF">2019-08-02T16:41:00Z</dcterms:modified>
</cp:coreProperties>
</file>