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97" w:rsidRPr="00C33297" w:rsidRDefault="00C33297" w:rsidP="00C33297">
      <w:pPr>
        <w:jc w:val="center"/>
        <w:rPr>
          <w:rFonts w:ascii="Arial" w:eastAsia="Times New Roman" w:hAnsi="Arial" w:cs="Arial"/>
          <w:color w:val="000000"/>
          <w:sz w:val="18"/>
          <w:szCs w:val="18"/>
          <w:lang w:val="es-CO" w:eastAsia="es-ES_tradnl"/>
        </w:rPr>
      </w:pPr>
      <w:r w:rsidRPr="00C33297">
        <w:rPr>
          <w:rFonts w:ascii="Arial" w:eastAsia="Times New Roman" w:hAnsi="Arial" w:cs="Arial"/>
          <w:b/>
          <w:bCs/>
          <w:color w:val="0000FF"/>
          <w:sz w:val="28"/>
          <w:szCs w:val="28"/>
          <w:lang w:val="es-CO" w:eastAsia="es-ES_tradnl"/>
        </w:rPr>
        <w:t>OFICIO Nº 2035 [020703]</w:t>
      </w:r>
    </w:p>
    <w:p w:rsidR="00C33297" w:rsidRPr="00C33297" w:rsidRDefault="00C33297" w:rsidP="00C33297">
      <w:pPr>
        <w:jc w:val="center"/>
        <w:rPr>
          <w:rFonts w:ascii="Arial" w:eastAsia="Times New Roman" w:hAnsi="Arial" w:cs="Arial"/>
          <w:color w:val="000000"/>
          <w:sz w:val="18"/>
          <w:szCs w:val="18"/>
          <w:lang w:val="es-CO" w:eastAsia="es-ES_tradnl"/>
        </w:rPr>
      </w:pPr>
      <w:r w:rsidRPr="00C33297">
        <w:rPr>
          <w:rFonts w:ascii="Arial" w:eastAsia="Times New Roman" w:hAnsi="Arial" w:cs="Arial"/>
          <w:b/>
          <w:bCs/>
          <w:color w:val="0000FF"/>
          <w:sz w:val="28"/>
          <w:szCs w:val="28"/>
          <w:lang w:val="es-CO" w:eastAsia="es-ES_tradnl"/>
        </w:rPr>
        <w:t>21-08-2019</w:t>
      </w:r>
    </w:p>
    <w:p w:rsidR="00C33297" w:rsidRPr="00C33297" w:rsidRDefault="00C33297" w:rsidP="00C33297">
      <w:pPr>
        <w:jc w:val="center"/>
        <w:rPr>
          <w:rFonts w:ascii="Arial" w:eastAsia="Times New Roman" w:hAnsi="Arial" w:cs="Arial"/>
          <w:color w:val="000000"/>
          <w:sz w:val="18"/>
          <w:szCs w:val="18"/>
          <w:lang w:val="es-CO" w:eastAsia="es-ES_tradnl"/>
        </w:rPr>
      </w:pPr>
      <w:r w:rsidRPr="00C33297">
        <w:rPr>
          <w:rFonts w:ascii="Arial" w:eastAsia="Times New Roman" w:hAnsi="Arial" w:cs="Arial"/>
          <w:b/>
          <w:bCs/>
          <w:color w:val="0000FF"/>
          <w:sz w:val="28"/>
          <w:szCs w:val="28"/>
          <w:lang w:val="es-CO" w:eastAsia="es-ES_tradnl"/>
        </w:rPr>
        <w:t>DIAN</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Subdirección de Gestión Normativa y Doctrina</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Bogotá, D.C.</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100208221- 002035</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b/>
          <w:bCs/>
          <w:color w:val="000000"/>
          <w:sz w:val="22"/>
          <w:szCs w:val="22"/>
          <w:lang w:val="es-CO" w:eastAsia="es-ES_tradnl"/>
        </w:rPr>
        <w:t>Ref:</w:t>
      </w:r>
      <w:r w:rsidRPr="00C33297">
        <w:rPr>
          <w:rFonts w:ascii="Arial" w:eastAsia="Times New Roman" w:hAnsi="Arial" w:cs="Arial"/>
          <w:color w:val="000000"/>
          <w:sz w:val="22"/>
          <w:szCs w:val="22"/>
          <w:lang w:val="es-CO" w:eastAsia="es-ES_tradnl"/>
        </w:rPr>
        <w:t> Radicado 100049575 del 16/07/2019</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tbl>
      <w:tblPr>
        <w:tblW w:w="0" w:type="auto"/>
        <w:tblCellMar>
          <w:left w:w="0" w:type="dxa"/>
          <w:right w:w="0" w:type="dxa"/>
        </w:tblCellMar>
        <w:tblLook w:val="04A0" w:firstRow="1" w:lastRow="0" w:firstColumn="1" w:lastColumn="0" w:noHBand="0" w:noVBand="1"/>
      </w:tblPr>
      <w:tblGrid>
        <w:gridCol w:w="1873"/>
        <w:gridCol w:w="222"/>
        <w:gridCol w:w="222"/>
        <w:gridCol w:w="4485"/>
      </w:tblGrid>
      <w:tr w:rsidR="00C33297" w:rsidRPr="00C33297" w:rsidTr="00C33297">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jc w:val="both"/>
              <w:rPr>
                <w:rFonts w:ascii="Arial" w:eastAsia="Times New Roman" w:hAnsi="Arial" w:cs="Arial"/>
                <w:lang w:val="es-CO" w:eastAsia="es-ES_tradnl"/>
              </w:rPr>
            </w:pPr>
            <w:r w:rsidRPr="00C33297">
              <w:rPr>
                <w:rFonts w:ascii="Arial" w:eastAsia="Times New Roman" w:hAnsi="Arial" w:cs="Arial"/>
                <w:b/>
                <w:bCs/>
                <w:sz w:val="20"/>
                <w:szCs w:val="20"/>
                <w:lang w:val="es-CO" w:eastAsia="es-ES_tradnl"/>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rPr>
                <w:rFonts w:ascii="Arial" w:eastAsia="Times New Roman" w:hAnsi="Arial" w:cs="Arial"/>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jc w:val="both"/>
              <w:rPr>
                <w:rFonts w:ascii="Arial" w:eastAsia="Times New Roman" w:hAnsi="Arial" w:cs="Arial"/>
                <w:lang w:val="es-CO" w:eastAsia="es-ES_tradnl"/>
              </w:rPr>
            </w:pPr>
            <w:r w:rsidRPr="00C33297">
              <w:rPr>
                <w:rFonts w:ascii="Arial" w:eastAsia="Times New Roman" w:hAnsi="Arial" w:cs="Arial"/>
                <w:sz w:val="20"/>
                <w:szCs w:val="20"/>
                <w:lang w:val="es-CO" w:eastAsia="es-ES_tradnl"/>
              </w:rPr>
              <w:t>Impuesto sobre la Renta y Complementarios</w:t>
            </w:r>
          </w:p>
        </w:tc>
      </w:tr>
      <w:tr w:rsidR="00C33297" w:rsidRPr="00C33297" w:rsidTr="00C33297">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jc w:val="both"/>
              <w:rPr>
                <w:rFonts w:ascii="Arial" w:eastAsia="Times New Roman" w:hAnsi="Arial" w:cs="Arial"/>
                <w:lang w:val="es-CO" w:eastAsia="es-ES_tradnl"/>
              </w:rPr>
            </w:pPr>
            <w:r w:rsidRPr="00C33297">
              <w:rPr>
                <w:rFonts w:ascii="Arial" w:eastAsia="Times New Roman" w:hAnsi="Arial" w:cs="Arial"/>
                <w:b/>
                <w:bCs/>
                <w:sz w:val="20"/>
                <w:szCs w:val="20"/>
                <w:lang w:val="es-CO" w:eastAsia="es-ES_tradnl"/>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rPr>
                <w:rFonts w:ascii="Arial" w:eastAsia="Times New Roman" w:hAnsi="Arial" w:cs="Arial"/>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jc w:val="both"/>
              <w:rPr>
                <w:rFonts w:ascii="Arial" w:eastAsia="Times New Roman" w:hAnsi="Arial" w:cs="Arial"/>
                <w:lang w:val="es-CO" w:eastAsia="es-ES_tradnl"/>
              </w:rPr>
            </w:pPr>
            <w:r w:rsidRPr="00C33297">
              <w:rPr>
                <w:rFonts w:ascii="Arial" w:eastAsia="Times New Roman" w:hAnsi="Arial" w:cs="Arial"/>
                <w:sz w:val="20"/>
                <w:szCs w:val="20"/>
                <w:lang w:val="es-CO" w:eastAsia="es-ES_tradnl"/>
              </w:rPr>
              <w:t>APORTES PARAFISCALES - EXONERACIÓN</w:t>
            </w:r>
          </w:p>
          <w:p w:rsidR="00C33297" w:rsidRPr="00C33297" w:rsidRDefault="00C33297" w:rsidP="00C33297">
            <w:pPr>
              <w:jc w:val="both"/>
              <w:rPr>
                <w:rFonts w:ascii="Arial" w:eastAsia="Times New Roman" w:hAnsi="Arial" w:cs="Arial"/>
                <w:lang w:val="es-CO" w:eastAsia="es-ES_tradnl"/>
              </w:rPr>
            </w:pPr>
            <w:r w:rsidRPr="00C33297">
              <w:rPr>
                <w:rFonts w:ascii="Arial" w:eastAsia="Times New Roman" w:hAnsi="Arial" w:cs="Arial"/>
                <w:sz w:val="20"/>
                <w:szCs w:val="20"/>
                <w:lang w:val="es-CO" w:eastAsia="es-ES_tradnl"/>
              </w:rPr>
              <w:t>Aportes Parafiscales</w:t>
            </w:r>
          </w:p>
        </w:tc>
      </w:tr>
      <w:tr w:rsidR="00C33297" w:rsidRPr="00C33297" w:rsidTr="00C33297">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jc w:val="both"/>
              <w:rPr>
                <w:rFonts w:ascii="Arial" w:eastAsia="Times New Roman" w:hAnsi="Arial" w:cs="Arial"/>
                <w:lang w:val="es-CO" w:eastAsia="es-ES_tradnl"/>
              </w:rPr>
            </w:pPr>
            <w:r w:rsidRPr="00C33297">
              <w:rPr>
                <w:rFonts w:ascii="Arial" w:eastAsia="Times New Roman" w:hAnsi="Arial" w:cs="Arial"/>
                <w:b/>
                <w:bCs/>
                <w:sz w:val="20"/>
                <w:szCs w:val="20"/>
                <w:lang w:val="es-CO" w:eastAsia="es-ES_tradnl"/>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rPr>
                <w:rFonts w:ascii="Arial" w:eastAsia="Times New Roman" w:hAnsi="Arial" w:cs="Arial"/>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rPr>
                <w:rFonts w:ascii="Times New Roman" w:eastAsia="Times New Roman" w:hAnsi="Times New Roman" w:cs="Times New Roman"/>
                <w:sz w:val="20"/>
                <w:szCs w:val="20"/>
                <w:lang w:val="es-CO" w:eastAsia="es-ES_tradnl"/>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C33297" w:rsidRPr="00C33297" w:rsidRDefault="00C33297" w:rsidP="00C33297">
            <w:pPr>
              <w:jc w:val="both"/>
              <w:rPr>
                <w:rFonts w:ascii="Arial" w:eastAsia="Times New Roman" w:hAnsi="Arial" w:cs="Arial"/>
                <w:lang w:val="es-CO" w:eastAsia="es-ES_tradnl"/>
              </w:rPr>
            </w:pPr>
            <w:r w:rsidRPr="00C33297">
              <w:rPr>
                <w:rFonts w:ascii="Arial" w:eastAsia="Times New Roman" w:hAnsi="Arial" w:cs="Arial"/>
                <w:sz w:val="20"/>
                <w:szCs w:val="20"/>
                <w:lang w:val="es-CO" w:eastAsia="es-ES_tradnl"/>
              </w:rPr>
              <w:t>Artículos </w:t>
            </w:r>
            <w:hyperlink r:id="rId4" w:tooltip="Estatuto Tributario CETA" w:history="1">
              <w:r w:rsidRPr="00C33297">
                <w:rPr>
                  <w:rFonts w:ascii="Arial" w:eastAsia="Times New Roman" w:hAnsi="Arial" w:cs="Arial"/>
                  <w:color w:val="0089E1"/>
                  <w:sz w:val="20"/>
                  <w:szCs w:val="20"/>
                  <w:lang w:val="es-CO" w:eastAsia="es-ES_tradnl"/>
                </w:rPr>
                <w:t>19</w:t>
              </w:r>
            </w:hyperlink>
            <w:r w:rsidRPr="00C33297">
              <w:rPr>
                <w:rFonts w:ascii="Arial" w:eastAsia="Times New Roman" w:hAnsi="Arial" w:cs="Arial"/>
                <w:sz w:val="20"/>
                <w:szCs w:val="20"/>
                <w:lang w:val="es-CO" w:eastAsia="es-ES_tradnl"/>
              </w:rPr>
              <w:t>, </w:t>
            </w:r>
            <w:hyperlink r:id="rId5" w:tooltip="Estatuto Tributario CETA" w:history="1">
              <w:r w:rsidRPr="00C33297">
                <w:rPr>
                  <w:rFonts w:ascii="Arial" w:eastAsia="Times New Roman" w:hAnsi="Arial" w:cs="Arial"/>
                  <w:color w:val="0089E1"/>
                  <w:sz w:val="20"/>
                  <w:szCs w:val="20"/>
                  <w:lang w:val="es-CO" w:eastAsia="es-ES_tradnl"/>
                </w:rPr>
                <w:t>19-4</w:t>
              </w:r>
            </w:hyperlink>
            <w:r w:rsidRPr="00C33297">
              <w:rPr>
                <w:rFonts w:ascii="Arial" w:eastAsia="Times New Roman" w:hAnsi="Arial" w:cs="Arial"/>
                <w:sz w:val="20"/>
                <w:szCs w:val="20"/>
                <w:lang w:val="es-CO" w:eastAsia="es-ES_tradnl"/>
              </w:rPr>
              <w:t>, </w:t>
            </w:r>
            <w:hyperlink r:id="rId6" w:tooltip="Estatuto Tributario CETA" w:history="1">
              <w:r w:rsidRPr="00C33297">
                <w:rPr>
                  <w:rFonts w:ascii="Arial" w:eastAsia="Times New Roman" w:hAnsi="Arial" w:cs="Arial"/>
                  <w:color w:val="0089E1"/>
                  <w:sz w:val="20"/>
                  <w:szCs w:val="20"/>
                  <w:lang w:val="es-CO" w:eastAsia="es-ES_tradnl"/>
                </w:rPr>
                <w:t>114-1</w:t>
              </w:r>
            </w:hyperlink>
            <w:r w:rsidRPr="00C33297">
              <w:rPr>
                <w:rFonts w:ascii="Arial" w:eastAsia="Times New Roman" w:hAnsi="Arial" w:cs="Arial"/>
                <w:sz w:val="20"/>
                <w:szCs w:val="20"/>
                <w:lang w:val="es-CO" w:eastAsia="es-ES_tradnl"/>
              </w:rPr>
              <w:t>- del Estatuto Tributario</w:t>
            </w:r>
          </w:p>
          <w:p w:rsidR="00C33297" w:rsidRPr="00C33297" w:rsidRDefault="00C33297" w:rsidP="00C33297">
            <w:pPr>
              <w:jc w:val="both"/>
              <w:rPr>
                <w:rFonts w:ascii="Arial" w:eastAsia="Times New Roman" w:hAnsi="Arial" w:cs="Arial"/>
                <w:lang w:val="es-CO" w:eastAsia="es-ES_tradnl"/>
              </w:rPr>
            </w:pPr>
            <w:r w:rsidRPr="00C33297">
              <w:rPr>
                <w:rFonts w:ascii="Arial" w:eastAsia="Times New Roman" w:hAnsi="Arial" w:cs="Arial"/>
                <w:sz w:val="20"/>
                <w:szCs w:val="20"/>
                <w:lang w:val="es-CO" w:eastAsia="es-ES_tradnl"/>
              </w:rPr>
              <w:t>Oficio 035705 del 27 de diciembre de 2018</w:t>
            </w:r>
          </w:p>
          <w:p w:rsidR="00C33297" w:rsidRPr="00C33297" w:rsidRDefault="00C33297" w:rsidP="00C33297">
            <w:pPr>
              <w:jc w:val="both"/>
              <w:rPr>
                <w:rFonts w:ascii="Arial" w:eastAsia="Times New Roman" w:hAnsi="Arial" w:cs="Arial"/>
                <w:lang w:val="es-CO" w:eastAsia="es-ES_tradnl"/>
              </w:rPr>
            </w:pPr>
            <w:r w:rsidRPr="00C33297">
              <w:rPr>
                <w:rFonts w:ascii="Arial" w:eastAsia="Times New Roman" w:hAnsi="Arial" w:cs="Arial"/>
                <w:sz w:val="20"/>
                <w:szCs w:val="20"/>
                <w:lang w:val="es-CO" w:eastAsia="es-ES_tradnl"/>
              </w:rPr>
              <w:t>Oficio 018967 del 23 de julio de 2019</w:t>
            </w:r>
          </w:p>
        </w:tc>
      </w:tr>
    </w:tbl>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De conformidad con el artículo 20 del Decreto número 4048 de 2008 este despacho está facultado para absolver las consultas escritas que se formulen sobre la interpretación y en lo de competencia de la Dirección de Impuestos y Aduanas Nacionales.</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Mediante el radicado de la referencia el consultante pregunta si las cooperativas están exoneradas del pago de aportes parafiscales, de acuerdo con lo dispuesto en el artículo 204 de la Ley 1955 de 2019.</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Sobre el particular se considera:</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El </w:t>
      </w:r>
      <w:hyperlink r:id="rId7" w:tooltip="Estatuto Tributario CETA" w:history="1">
        <w:r w:rsidRPr="00C33297">
          <w:rPr>
            <w:rFonts w:ascii="Arial" w:eastAsia="Times New Roman" w:hAnsi="Arial" w:cs="Arial"/>
            <w:color w:val="0089E1"/>
            <w:sz w:val="22"/>
            <w:szCs w:val="22"/>
            <w:lang w:val="es-CO" w:eastAsia="es-ES_tradnl"/>
          </w:rPr>
          <w:t>artículo 114-1</w:t>
        </w:r>
      </w:hyperlink>
      <w:r w:rsidRPr="00C33297">
        <w:rPr>
          <w:rFonts w:ascii="Arial" w:eastAsia="Times New Roman" w:hAnsi="Arial" w:cs="Arial"/>
          <w:color w:val="000000"/>
          <w:sz w:val="22"/>
          <w:szCs w:val="22"/>
          <w:lang w:val="es-CO" w:eastAsia="es-ES_tradnl"/>
        </w:rPr>
        <w:t xml:space="preserve"> del Estatuto Tributario, adicionado por el artículo 65 de la Ley 1819 de 2016, contempla una exoneración de aportes parafiscales a favor del Servicio Nacional de Aprendizaje (SENA), del Instituto Colombiano de Bienestar Familiar (ICBF) y las cotizaciones al Régimen Contributivo de Salud, exoneración sobre la cual el artículo </w:t>
      </w:r>
      <w:r w:rsidRPr="00C33297">
        <w:rPr>
          <w:rFonts w:ascii="Arial" w:eastAsia="Times New Roman" w:hAnsi="Arial" w:cs="Arial"/>
          <w:color w:val="000000"/>
          <w:sz w:val="22"/>
          <w:szCs w:val="22"/>
          <w:highlight w:val="yellow"/>
          <w:lang w:val="es-CO" w:eastAsia="es-ES_tradnl"/>
        </w:rPr>
        <w:t>204 de la Ley 1955 de 2019 </w:t>
      </w:r>
      <w:r w:rsidRPr="00C33297">
        <w:rPr>
          <w:rFonts w:ascii="Arial" w:eastAsia="Times New Roman" w:hAnsi="Arial" w:cs="Arial"/>
          <w:i/>
          <w:iCs/>
          <w:color w:val="000000"/>
          <w:sz w:val="22"/>
          <w:szCs w:val="22"/>
          <w:highlight w:val="yellow"/>
          <w:lang w:val="es-CO" w:eastAsia="es-ES_tradnl"/>
        </w:rPr>
        <w:t>“Por el cual se expide el Plan Nacional de Desarrollo 2018-2022. Pacto por Colombia, Pacto por la Equidad”,</w:t>
      </w:r>
      <w:r w:rsidRPr="00C33297">
        <w:rPr>
          <w:rFonts w:ascii="Arial" w:eastAsia="Times New Roman" w:hAnsi="Arial" w:cs="Arial"/>
          <w:i/>
          <w:iCs/>
          <w:color w:val="000000"/>
          <w:sz w:val="22"/>
          <w:szCs w:val="22"/>
          <w:lang w:val="es-CO" w:eastAsia="es-ES_tradnl"/>
        </w:rPr>
        <w:t> </w:t>
      </w:r>
      <w:r w:rsidRPr="00C33297">
        <w:rPr>
          <w:rFonts w:ascii="Arial" w:eastAsia="Times New Roman" w:hAnsi="Arial" w:cs="Arial"/>
          <w:color w:val="000000"/>
          <w:sz w:val="22"/>
          <w:szCs w:val="22"/>
          <w:lang w:val="es-CO" w:eastAsia="es-ES_tradnl"/>
        </w:rPr>
        <w:t>hace la siguiente precisión:</w:t>
      </w:r>
    </w:p>
    <w:p w:rsidR="00C33297" w:rsidRPr="00C33297" w:rsidRDefault="00C33297" w:rsidP="00C33297">
      <w:pPr>
        <w:ind w:left="284"/>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ind w:left="284"/>
        <w:jc w:val="both"/>
        <w:rPr>
          <w:rFonts w:ascii="Arial" w:eastAsia="Times New Roman" w:hAnsi="Arial" w:cs="Arial"/>
          <w:color w:val="000000"/>
          <w:sz w:val="18"/>
          <w:szCs w:val="18"/>
          <w:lang w:val="es-CO" w:eastAsia="es-ES_tradnl"/>
        </w:rPr>
      </w:pPr>
      <w:r w:rsidRPr="00C33297">
        <w:rPr>
          <w:rFonts w:ascii="Arial" w:eastAsia="Times New Roman" w:hAnsi="Arial" w:cs="Arial"/>
          <w:b/>
          <w:bCs/>
          <w:i/>
          <w:iCs/>
          <w:color w:val="000000"/>
          <w:sz w:val="22"/>
          <w:szCs w:val="22"/>
          <w:lang w:val="es-CO" w:eastAsia="es-ES_tradnl"/>
        </w:rPr>
        <w:t>“Artículo 204.</w:t>
      </w:r>
      <w:r w:rsidRPr="00C33297">
        <w:rPr>
          <w:rFonts w:ascii="Arial" w:eastAsia="Times New Roman" w:hAnsi="Arial" w:cs="Arial"/>
          <w:i/>
          <w:iCs/>
          <w:color w:val="000000"/>
          <w:sz w:val="22"/>
          <w:szCs w:val="22"/>
          <w:lang w:val="es-CO" w:eastAsia="es-ES_tradnl"/>
        </w:rPr>
        <w:t> </w:t>
      </w:r>
      <w:r w:rsidRPr="00C33297">
        <w:rPr>
          <w:rFonts w:ascii="Arial" w:eastAsia="Times New Roman" w:hAnsi="Arial" w:cs="Arial"/>
          <w:b/>
          <w:bCs/>
          <w:i/>
          <w:iCs/>
          <w:color w:val="000000"/>
          <w:sz w:val="22"/>
          <w:szCs w:val="22"/>
          <w:lang w:val="es-CO" w:eastAsia="es-ES_tradnl"/>
        </w:rPr>
        <w:t>Exoneración de aportes.</w:t>
      </w:r>
      <w:r w:rsidRPr="00C33297">
        <w:rPr>
          <w:rFonts w:ascii="Arial" w:eastAsia="Times New Roman" w:hAnsi="Arial" w:cs="Arial"/>
          <w:i/>
          <w:iCs/>
          <w:color w:val="000000"/>
          <w:sz w:val="22"/>
          <w:szCs w:val="22"/>
          <w:lang w:val="es-CO" w:eastAsia="es-ES_tradnl"/>
        </w:rPr>
        <w:t> Adiciónese un inciso al parágrafo 2 del </w:t>
      </w:r>
      <w:hyperlink r:id="rId8" w:tooltip="Estatuto Tributario CETA" w:history="1">
        <w:r w:rsidRPr="00C33297">
          <w:rPr>
            <w:rFonts w:ascii="Arial" w:eastAsia="Times New Roman" w:hAnsi="Arial" w:cs="Arial"/>
            <w:i/>
            <w:iCs/>
            <w:color w:val="0089E1"/>
            <w:sz w:val="22"/>
            <w:szCs w:val="22"/>
            <w:lang w:val="es-CO" w:eastAsia="es-ES_tradnl"/>
          </w:rPr>
          <w:t>artículo 114-1</w:t>
        </w:r>
      </w:hyperlink>
      <w:r w:rsidRPr="00C33297">
        <w:rPr>
          <w:rFonts w:ascii="Arial" w:eastAsia="Times New Roman" w:hAnsi="Arial" w:cs="Arial"/>
          <w:i/>
          <w:iCs/>
          <w:color w:val="000000"/>
          <w:sz w:val="22"/>
          <w:szCs w:val="22"/>
          <w:lang w:val="es-CO" w:eastAsia="es-ES_tradnl"/>
        </w:rPr>
        <w:t> del Estatuto Tributario, así:</w:t>
      </w:r>
    </w:p>
    <w:p w:rsidR="00C33297" w:rsidRPr="00C33297" w:rsidRDefault="00C33297" w:rsidP="00C33297">
      <w:pPr>
        <w:ind w:left="284"/>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ind w:left="284"/>
        <w:jc w:val="both"/>
        <w:rPr>
          <w:rFonts w:ascii="Arial" w:eastAsia="Times New Roman" w:hAnsi="Arial" w:cs="Arial"/>
          <w:color w:val="000000"/>
          <w:sz w:val="18"/>
          <w:szCs w:val="18"/>
          <w:lang w:val="es-CO" w:eastAsia="es-ES_tradnl"/>
        </w:rPr>
      </w:pPr>
      <w:r w:rsidRPr="00C33297">
        <w:rPr>
          <w:rFonts w:ascii="Arial" w:eastAsia="Times New Roman" w:hAnsi="Arial" w:cs="Arial"/>
          <w:i/>
          <w:iCs/>
          <w:color w:val="000000"/>
          <w:sz w:val="22"/>
          <w:szCs w:val="22"/>
          <w:lang w:val="es-CO" w:eastAsia="es-ES_tradnl"/>
        </w:rPr>
        <w:t>Las entidades de que trata el </w:t>
      </w:r>
      <w:hyperlink r:id="rId9" w:tooltip="Estatuto Tributario CETA" w:history="1">
        <w:r w:rsidRPr="00C33297">
          <w:rPr>
            <w:rFonts w:ascii="Arial" w:eastAsia="Times New Roman" w:hAnsi="Arial" w:cs="Arial"/>
            <w:i/>
            <w:iCs/>
            <w:color w:val="0089E1"/>
            <w:sz w:val="22"/>
            <w:szCs w:val="22"/>
            <w:lang w:val="es-CO" w:eastAsia="es-ES_tradnl"/>
          </w:rPr>
          <w:t>artículo 19-4</w:t>
        </w:r>
      </w:hyperlink>
      <w:r w:rsidRPr="00C33297">
        <w:rPr>
          <w:rFonts w:ascii="Arial" w:eastAsia="Times New Roman" w:hAnsi="Arial" w:cs="Arial"/>
          <w:i/>
          <w:iCs/>
          <w:color w:val="000000"/>
          <w:sz w:val="22"/>
          <w:szCs w:val="22"/>
          <w:lang w:val="es-CO" w:eastAsia="es-ES_tradnl"/>
        </w:rPr>
        <w:t> del Estatuto Tributario conservan el derecho a la exoneración de que trata este artículo.”</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lastRenderedPageBreak/>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 xml:space="preserve">Así las cosas, </w:t>
      </w:r>
      <w:r w:rsidRPr="00C33297">
        <w:rPr>
          <w:rFonts w:ascii="Arial" w:eastAsia="Times New Roman" w:hAnsi="Arial" w:cs="Arial"/>
          <w:color w:val="000000"/>
          <w:sz w:val="22"/>
          <w:szCs w:val="22"/>
          <w:highlight w:val="yellow"/>
          <w:lang w:val="es-CO" w:eastAsia="es-ES_tradnl"/>
        </w:rPr>
        <w:t>a las entidades del sector cooperativo también les aplica la exoneración contenida en el </w:t>
      </w:r>
      <w:hyperlink r:id="rId10" w:tooltip="Estatuto Tributario CETA" w:history="1">
        <w:r w:rsidRPr="00C33297">
          <w:rPr>
            <w:rFonts w:ascii="Arial" w:eastAsia="Times New Roman" w:hAnsi="Arial" w:cs="Arial"/>
            <w:color w:val="0089E1"/>
            <w:sz w:val="22"/>
            <w:szCs w:val="22"/>
            <w:highlight w:val="yellow"/>
            <w:lang w:val="es-CO" w:eastAsia="es-ES_tradnl"/>
          </w:rPr>
          <w:t>artículo 114-1</w:t>
        </w:r>
      </w:hyperlink>
      <w:r w:rsidRPr="00C33297">
        <w:rPr>
          <w:rFonts w:ascii="Arial" w:eastAsia="Times New Roman" w:hAnsi="Arial" w:cs="Arial"/>
          <w:color w:val="000000"/>
          <w:sz w:val="22"/>
          <w:szCs w:val="22"/>
          <w:highlight w:val="yellow"/>
          <w:lang w:val="es-CO" w:eastAsia="es-ES_tradnl"/>
        </w:rPr>
        <w:t> del Estatuto Tributario</w:t>
      </w:r>
      <w:bookmarkStart w:id="0" w:name="_GoBack"/>
      <w:bookmarkEnd w:id="0"/>
      <w:r w:rsidRPr="00C33297">
        <w:rPr>
          <w:rFonts w:ascii="Arial" w:eastAsia="Times New Roman" w:hAnsi="Arial" w:cs="Arial"/>
          <w:color w:val="000000"/>
          <w:sz w:val="22"/>
          <w:szCs w:val="22"/>
          <w:lang w:val="es-CO" w:eastAsia="es-ES_tradnl"/>
        </w:rPr>
        <w:t xml:space="preserve">, tema sobre el cual el Oficio 018967 del 23 de julio de 2019 concluyó que </w:t>
      </w:r>
      <w:r w:rsidRPr="00C33297">
        <w:rPr>
          <w:rFonts w:ascii="Arial" w:eastAsia="Times New Roman" w:hAnsi="Arial" w:cs="Arial"/>
          <w:color w:val="000000"/>
          <w:sz w:val="22"/>
          <w:szCs w:val="22"/>
          <w:highlight w:val="yellow"/>
          <w:lang w:val="es-CO" w:eastAsia="es-ES_tradnl"/>
        </w:rPr>
        <w:t>es a partir de la publicación de la Ley 1955 de 2018. Copia de la doctrina en mención se adjunta para su conocimiento y fines pertinentes.</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Sin perjuicio de lo anteriormente mencionado es pertinente señalar que, en los antecedentes de la consulta, el peticionario se refiere de forma indistinta a los artículos </w:t>
      </w:r>
      <w:hyperlink r:id="rId11" w:tooltip="Estatuto Tributario CETA" w:history="1">
        <w:r w:rsidRPr="00C33297">
          <w:rPr>
            <w:rFonts w:ascii="Arial" w:eastAsia="Times New Roman" w:hAnsi="Arial" w:cs="Arial"/>
            <w:color w:val="0089E1"/>
            <w:sz w:val="22"/>
            <w:szCs w:val="22"/>
            <w:lang w:val="es-CO" w:eastAsia="es-ES_tradnl"/>
          </w:rPr>
          <w:t>19</w:t>
        </w:r>
      </w:hyperlink>
      <w:r w:rsidRPr="00C33297">
        <w:rPr>
          <w:rFonts w:ascii="Arial" w:eastAsia="Times New Roman" w:hAnsi="Arial" w:cs="Arial"/>
          <w:color w:val="000000"/>
          <w:sz w:val="22"/>
          <w:szCs w:val="22"/>
          <w:lang w:val="es-CO" w:eastAsia="es-ES_tradnl"/>
        </w:rPr>
        <w:t> y </w:t>
      </w:r>
      <w:hyperlink r:id="rId12" w:tooltip="Estatuto Tributario CETA" w:history="1">
        <w:r w:rsidRPr="00C33297">
          <w:rPr>
            <w:rFonts w:ascii="Arial" w:eastAsia="Times New Roman" w:hAnsi="Arial" w:cs="Arial"/>
            <w:color w:val="0089E1"/>
            <w:sz w:val="22"/>
            <w:szCs w:val="22"/>
            <w:lang w:val="es-CO" w:eastAsia="es-ES_tradnl"/>
          </w:rPr>
          <w:t>19-4</w:t>
        </w:r>
      </w:hyperlink>
      <w:r w:rsidRPr="00C33297">
        <w:rPr>
          <w:rFonts w:ascii="Arial" w:eastAsia="Times New Roman" w:hAnsi="Arial" w:cs="Arial"/>
          <w:color w:val="000000"/>
          <w:sz w:val="22"/>
          <w:szCs w:val="22"/>
          <w:lang w:val="es-CO" w:eastAsia="es-ES_tradnl"/>
        </w:rPr>
        <w:t> y menciona que no se tributó </w:t>
      </w:r>
      <w:r w:rsidRPr="00C33297">
        <w:rPr>
          <w:rFonts w:ascii="Arial" w:eastAsia="Times New Roman" w:hAnsi="Arial" w:cs="Arial"/>
          <w:i/>
          <w:iCs/>
          <w:color w:val="000000"/>
          <w:sz w:val="22"/>
          <w:szCs w:val="22"/>
          <w:lang w:val="es-CO" w:eastAsia="es-ES_tradnl"/>
        </w:rPr>
        <w:t>“por ser del régimen especial y estar calificada (...)”. </w:t>
      </w:r>
      <w:r w:rsidRPr="00C33297">
        <w:rPr>
          <w:rFonts w:ascii="Arial" w:eastAsia="Times New Roman" w:hAnsi="Arial" w:cs="Arial"/>
          <w:color w:val="000000"/>
          <w:sz w:val="22"/>
          <w:szCs w:val="22"/>
          <w:lang w:val="es-CO" w:eastAsia="es-ES_tradnl"/>
        </w:rPr>
        <w:t>Por esta razón este despacho realizará las siguientes precisiones:</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Lo primero que se debe indicar que a las entidades del sector cooperativo cooperativas les aplica lo dispuesto en el </w:t>
      </w:r>
      <w:hyperlink r:id="rId13" w:tooltip="Estatuto Tributario CETA" w:history="1">
        <w:r w:rsidRPr="00C33297">
          <w:rPr>
            <w:rFonts w:ascii="Arial" w:eastAsia="Times New Roman" w:hAnsi="Arial" w:cs="Arial"/>
            <w:color w:val="0089E1"/>
            <w:sz w:val="22"/>
            <w:szCs w:val="22"/>
            <w:lang w:val="es-CO" w:eastAsia="es-ES_tradnl"/>
          </w:rPr>
          <w:t>artículo 19-4</w:t>
        </w:r>
      </w:hyperlink>
      <w:r w:rsidRPr="00C33297">
        <w:rPr>
          <w:rFonts w:ascii="Arial" w:eastAsia="Times New Roman" w:hAnsi="Arial" w:cs="Arial"/>
          <w:color w:val="000000"/>
          <w:sz w:val="22"/>
          <w:szCs w:val="22"/>
          <w:lang w:val="es-CO" w:eastAsia="es-ES_tradnl"/>
        </w:rPr>
        <w:t> del Estatuto Tributario, no lo contenido en el </w:t>
      </w:r>
      <w:hyperlink r:id="rId14" w:tooltip="Estatuto Tributario CETA" w:history="1">
        <w:r w:rsidRPr="00C33297">
          <w:rPr>
            <w:rFonts w:ascii="Arial" w:eastAsia="Times New Roman" w:hAnsi="Arial" w:cs="Arial"/>
            <w:color w:val="0089E1"/>
            <w:sz w:val="22"/>
            <w:szCs w:val="22"/>
            <w:lang w:val="es-CO" w:eastAsia="es-ES_tradnl"/>
          </w:rPr>
          <w:t>artículo 19</w:t>
        </w:r>
      </w:hyperlink>
      <w:r w:rsidRPr="00C33297">
        <w:rPr>
          <w:rFonts w:ascii="Arial" w:eastAsia="Times New Roman" w:hAnsi="Arial" w:cs="Arial"/>
          <w:color w:val="000000"/>
          <w:sz w:val="22"/>
          <w:szCs w:val="22"/>
          <w:lang w:val="es-CO" w:eastAsia="es-ES_tradnl"/>
        </w:rPr>
        <w:t> ibídem, mención que tiene importancia en la medida que el proceso de calificación, pues estas pertenecen al Régimen Tributario Especial.</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También debe mencionarse que a las entidades del sector cooperativo no les aplica lo dispuesto en el </w:t>
      </w:r>
      <w:hyperlink r:id="rId15" w:tooltip="Estatuto Tributario CETA" w:history="1">
        <w:r w:rsidRPr="00C33297">
          <w:rPr>
            <w:rFonts w:ascii="Arial" w:eastAsia="Times New Roman" w:hAnsi="Arial" w:cs="Arial"/>
            <w:color w:val="0089E1"/>
            <w:sz w:val="22"/>
            <w:szCs w:val="22"/>
            <w:lang w:val="es-CO" w:eastAsia="es-ES_tradnl"/>
          </w:rPr>
          <w:t>artículo 358</w:t>
        </w:r>
      </w:hyperlink>
      <w:r w:rsidRPr="00C33297">
        <w:rPr>
          <w:rFonts w:ascii="Arial" w:eastAsia="Times New Roman" w:hAnsi="Arial" w:cs="Arial"/>
          <w:color w:val="000000"/>
          <w:sz w:val="22"/>
          <w:szCs w:val="22"/>
          <w:lang w:val="es-CO" w:eastAsia="es-ES_tradnl"/>
        </w:rPr>
        <w:t> del Estatuto Tributario, pues lo dispuesto en el inciso primero del </w:t>
      </w:r>
      <w:hyperlink r:id="rId16" w:tooltip="Estatuto Tributario CETA" w:history="1">
        <w:r w:rsidRPr="00C33297">
          <w:rPr>
            <w:rFonts w:ascii="Arial" w:eastAsia="Times New Roman" w:hAnsi="Arial" w:cs="Arial"/>
            <w:color w:val="0089E1"/>
            <w:sz w:val="22"/>
            <w:szCs w:val="22"/>
            <w:lang w:val="es-CO" w:eastAsia="es-ES_tradnl"/>
          </w:rPr>
          <w:t>artículo 19-4</w:t>
        </w:r>
      </w:hyperlink>
      <w:r w:rsidRPr="00C33297">
        <w:rPr>
          <w:rFonts w:ascii="Arial" w:eastAsia="Times New Roman" w:hAnsi="Arial" w:cs="Arial"/>
          <w:color w:val="000000"/>
          <w:sz w:val="22"/>
          <w:szCs w:val="22"/>
          <w:lang w:val="es-CO" w:eastAsia="es-ES_tradnl"/>
        </w:rPr>
        <w:t> sobre la tarifa establece:</w:t>
      </w:r>
    </w:p>
    <w:p w:rsidR="00C33297" w:rsidRPr="00C33297" w:rsidRDefault="00C33297" w:rsidP="00C33297">
      <w:pPr>
        <w:ind w:left="284"/>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ind w:left="284"/>
        <w:jc w:val="both"/>
        <w:rPr>
          <w:rFonts w:ascii="Arial" w:eastAsia="Times New Roman" w:hAnsi="Arial" w:cs="Arial"/>
          <w:color w:val="000000"/>
          <w:sz w:val="18"/>
          <w:szCs w:val="18"/>
          <w:lang w:val="es-CO" w:eastAsia="es-ES_tradnl"/>
        </w:rPr>
      </w:pPr>
      <w:r w:rsidRPr="00C33297">
        <w:rPr>
          <w:rFonts w:ascii="Arial" w:eastAsia="Times New Roman" w:hAnsi="Arial" w:cs="Arial"/>
          <w:b/>
          <w:bCs/>
          <w:i/>
          <w:iCs/>
          <w:color w:val="000000"/>
          <w:sz w:val="22"/>
          <w:szCs w:val="22"/>
          <w:lang w:val="es-CO" w:eastAsia="es-ES_tradnl"/>
        </w:rPr>
        <w:t>"</w:t>
      </w:r>
      <w:hyperlink r:id="rId17" w:tooltip="Estatuto Tributario CETA" w:history="1">
        <w:r w:rsidRPr="00C33297">
          <w:rPr>
            <w:rFonts w:ascii="Arial" w:eastAsia="Times New Roman" w:hAnsi="Arial" w:cs="Arial"/>
            <w:b/>
            <w:bCs/>
            <w:i/>
            <w:iCs/>
            <w:color w:val="0089E1"/>
            <w:sz w:val="22"/>
            <w:szCs w:val="22"/>
            <w:lang w:val="es-CO" w:eastAsia="es-ES_tradnl"/>
          </w:rPr>
          <w:t>Artículo 19-4</w:t>
        </w:r>
      </w:hyperlink>
      <w:r w:rsidRPr="00C33297">
        <w:rPr>
          <w:rFonts w:ascii="Arial" w:eastAsia="Times New Roman" w:hAnsi="Arial" w:cs="Arial"/>
          <w:b/>
          <w:bCs/>
          <w:i/>
          <w:iCs/>
          <w:color w:val="000000"/>
          <w:sz w:val="22"/>
          <w:szCs w:val="22"/>
          <w:lang w:val="es-CO" w:eastAsia="es-ES_tradnl"/>
        </w:rPr>
        <w:t>. Tributación sobre la renta de las cooperativas.</w:t>
      </w:r>
      <w:r w:rsidRPr="00C33297">
        <w:rPr>
          <w:rFonts w:ascii="Arial" w:eastAsia="Times New Roman" w:hAnsi="Arial" w:cs="Arial"/>
          <w:i/>
          <w:iCs/>
          <w:color w:val="000000"/>
          <w:sz w:val="22"/>
          <w:szCs w:val="22"/>
          <w:lang w:val="es-CO" w:eastAsia="es-ES_tradnl"/>
        </w:rPr>
        <w:t>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pertenecen al Régimen Tributario Especial </w:t>
      </w:r>
      <w:r w:rsidRPr="00C33297">
        <w:rPr>
          <w:rFonts w:ascii="Arial" w:eastAsia="Times New Roman" w:hAnsi="Arial" w:cs="Arial"/>
          <w:i/>
          <w:iCs/>
          <w:color w:val="000000"/>
          <w:sz w:val="22"/>
          <w:szCs w:val="22"/>
          <w:u w:val="single"/>
          <w:lang w:val="es-CO" w:eastAsia="es-ES_tradnl"/>
        </w:rPr>
        <w:t>y tributan sobre sus beneficios netos o excedentes a la tarifa única especial del veinte por ciento (20%). El impuesto será tomado en su totalidad del Fondo de Educación y Solidaridad de que trata el artículo 54 de la Ley 79 de 1988.”</w:t>
      </w:r>
    </w:p>
    <w:p w:rsidR="00C33297" w:rsidRPr="00C33297" w:rsidRDefault="00C33297" w:rsidP="00C33297">
      <w:pPr>
        <w:ind w:left="284"/>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(Subrayado fuera del texto)</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Así las cosas, para las entidades del sector cooperativo, el monto que se recauda por concepto del impuesto de renta a la tarifa del 20% y que evidencia el propósito del legislador de mantener la carga tributaria de las entidades del sector cooperativo (exposición de motivos de la Ley 1819 de 2016, Gaceta del Congreso No. 894, página 145) y la principal modificación que trajo la ley fue que el valor del impuesto a cargo, a través de la aplicación de la tarifa del 20% al beneficio neto o excedente se toma del Fondo de Educación y Solidaridad de que trata el artículo 54 de la Ley 79 de 1988 y utilice en programas de educación superior pública.</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El propósito de esta medida fue que las entidades del sector cooperativo adquirieran compromisos serios de ejecución para que los recursos asignados y estos no se pierdan de una vigencia fiscal a otra por falta de gestión (ponencia para primer debate de la Ley 1819 de 2016, Gaceta del Congreso No. 1090, página 13).</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Con base en lo antes mencionado en el Oficio 035705 del 27 de diciembre de 2018 se interpretó que las entidades del sector cooperativo deben determinar su beneficio neto o excedente, aspecto sobre el cual el inciso segundo del </w:t>
      </w:r>
      <w:hyperlink r:id="rId18" w:tooltip="Estatuto Tributario CETA" w:history="1">
        <w:r w:rsidRPr="00C33297">
          <w:rPr>
            <w:rFonts w:ascii="Arial" w:eastAsia="Times New Roman" w:hAnsi="Arial" w:cs="Arial"/>
            <w:color w:val="0089E1"/>
            <w:sz w:val="22"/>
            <w:szCs w:val="22"/>
            <w:lang w:val="es-CO" w:eastAsia="es-ES_tradnl"/>
          </w:rPr>
          <w:t>artículo 19-4</w:t>
        </w:r>
      </w:hyperlink>
      <w:r w:rsidRPr="00C33297">
        <w:rPr>
          <w:rFonts w:ascii="Arial" w:eastAsia="Times New Roman" w:hAnsi="Arial" w:cs="Arial"/>
          <w:color w:val="000000"/>
          <w:sz w:val="22"/>
          <w:szCs w:val="22"/>
          <w:lang w:val="es-CO" w:eastAsia="es-ES_tradnl"/>
        </w:rPr>
        <w:t> del Estatuto Tributario señala que se hará de acuerdo con la ley y la normativa cooperativa vigente, observando además para este fin lo contenido en el artículo 1.2.1.5.2.7. del Decreto 1625 de 2016.</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 xml:space="preserve">Determinado este beneficio neto o excedente, estas entidades deberán aplicar lo dispuesto en el artículo 54 de la Ley 79 de 1988 para constituir las correspondientes reservas y fondos (en los porcentajes allí establecidos) dentro de los cuales está el fondo de educación, </w:t>
      </w:r>
      <w:r w:rsidRPr="00C33297">
        <w:rPr>
          <w:rFonts w:ascii="Arial" w:eastAsia="Times New Roman" w:hAnsi="Arial" w:cs="Arial"/>
          <w:color w:val="000000"/>
          <w:sz w:val="22"/>
          <w:szCs w:val="22"/>
          <w:lang w:val="es-CO" w:eastAsia="es-ES_tradnl"/>
        </w:rPr>
        <w:lastRenderedPageBreak/>
        <w:t>respecto del cual el </w:t>
      </w:r>
      <w:hyperlink r:id="rId19" w:tooltip="Estatuto Tributario CETA" w:history="1">
        <w:r w:rsidRPr="00C33297">
          <w:rPr>
            <w:rFonts w:ascii="Arial" w:eastAsia="Times New Roman" w:hAnsi="Arial" w:cs="Arial"/>
            <w:color w:val="0089E1"/>
            <w:sz w:val="22"/>
            <w:szCs w:val="22"/>
            <w:lang w:val="es-CO" w:eastAsia="es-ES_tradnl"/>
          </w:rPr>
          <w:t>artículo 19-4</w:t>
        </w:r>
      </w:hyperlink>
      <w:r w:rsidRPr="00C33297">
        <w:rPr>
          <w:rFonts w:ascii="Arial" w:eastAsia="Times New Roman" w:hAnsi="Arial" w:cs="Arial"/>
          <w:color w:val="000000"/>
          <w:sz w:val="22"/>
          <w:szCs w:val="22"/>
          <w:lang w:val="es-CO" w:eastAsia="es-ES_tradnl"/>
        </w:rPr>
        <w:t> del Estatuto Tributario señala que se toma la totalidad del impuesto al aplicar la correspondiente tarifa, situación que se verá reflejada en la declaración del impuesto sobre la renta del correspondiente año gravable.</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En los anteriores términos se resuelve su solicitud y finalmente le manifestamos que la Dirección de Impuestos y Aduanas Nacionales-DIAN-,con el fin de facilitar a los contribuyentes, usuarios y público en general el acceso directo a sus pronunciamientos doctrinarios, ha publicado en su página de internet </w:t>
      </w:r>
      <w:hyperlink r:id="rId20" w:history="1">
        <w:r w:rsidRPr="00C33297">
          <w:rPr>
            <w:rFonts w:ascii="Arial" w:eastAsia="Times New Roman" w:hAnsi="Arial" w:cs="Arial"/>
            <w:color w:val="0089E1"/>
            <w:sz w:val="22"/>
            <w:szCs w:val="22"/>
            <w:lang w:val="es-CO" w:eastAsia="es-ES_tradnl"/>
          </w:rPr>
          <w:t>www.dian.gov.co</w:t>
        </w:r>
      </w:hyperlink>
      <w:r w:rsidRPr="00C33297">
        <w:rPr>
          <w:rFonts w:ascii="Arial" w:eastAsia="Times New Roman" w:hAnsi="Arial" w:cs="Arial"/>
          <w:color w:val="000000"/>
          <w:sz w:val="22"/>
          <w:szCs w:val="22"/>
          <w:lang w:val="es-CO" w:eastAsia="es-ES_tradnl"/>
        </w:rPr>
        <w:t>, la base de conceptos en materia tributaria, aduanera y cambiaria expedidos desde el año 2001, la cual se puede ingresar por el ícono de “Normatividad” -“técnica”-, dando click en el link “Doctrina Dirección de Gestión Jurídica”.</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Atentamente,</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18"/>
          <w:szCs w:val="18"/>
          <w:lang w:val="es-CO" w:eastAsia="es-ES_tradnl"/>
        </w:rPr>
        <w:t> </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b/>
          <w:bCs/>
          <w:color w:val="000000"/>
          <w:sz w:val="22"/>
          <w:szCs w:val="22"/>
          <w:lang w:val="es-CO" w:eastAsia="es-ES_tradnl"/>
        </w:rPr>
        <w:t>LORENZO CASTILLO BARVO</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Subdirector de Gestión Normativa y Doctrina (E)</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Dirección de Gestión Jurídica</w:t>
      </w:r>
    </w:p>
    <w:p w:rsidR="00C33297" w:rsidRPr="00C33297" w:rsidRDefault="00C33297" w:rsidP="00C33297">
      <w:pPr>
        <w:jc w:val="both"/>
        <w:rPr>
          <w:rFonts w:ascii="Arial" w:eastAsia="Times New Roman" w:hAnsi="Arial" w:cs="Arial"/>
          <w:color w:val="000000"/>
          <w:sz w:val="18"/>
          <w:szCs w:val="18"/>
          <w:lang w:val="es-CO" w:eastAsia="es-ES_tradnl"/>
        </w:rPr>
      </w:pPr>
      <w:r w:rsidRPr="00C33297">
        <w:rPr>
          <w:rFonts w:ascii="Arial" w:eastAsia="Times New Roman" w:hAnsi="Arial" w:cs="Arial"/>
          <w:color w:val="000000"/>
          <w:sz w:val="22"/>
          <w:szCs w:val="22"/>
          <w:lang w:val="es-CO" w:eastAsia="es-ES_tradnl"/>
        </w:rPr>
        <w:t>UAE-DIAN</w:t>
      </w:r>
    </w:p>
    <w:p w:rsidR="00D8462D" w:rsidRPr="00C33297" w:rsidRDefault="00D8462D">
      <w:pPr>
        <w:rPr>
          <w:lang w:val="es-CO"/>
        </w:rPr>
      </w:pPr>
    </w:p>
    <w:sectPr w:rsidR="00D8462D" w:rsidRPr="00C33297" w:rsidSect="00A34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97"/>
    <w:rsid w:val="00A34E9D"/>
    <w:rsid w:val="00C33297"/>
    <w:rsid w:val="00D846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81B0B1A"/>
  <w14:defaultImageDpi w14:val="32767"/>
  <w15:chartTrackingRefBased/>
  <w15:docId w15:val="{436F9958-431C-004D-8C37-D4899BD4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C33297"/>
    <w:pPr>
      <w:spacing w:before="100" w:beforeAutospacing="1" w:after="100" w:afterAutospacing="1"/>
    </w:pPr>
    <w:rPr>
      <w:rFonts w:ascii="Times New Roman" w:eastAsia="Times New Roman" w:hAnsi="Times New Roman" w:cs="Times New Roman"/>
      <w:lang w:val="es-CO" w:eastAsia="es-ES_tradnl"/>
    </w:rPr>
  </w:style>
  <w:style w:type="character" w:customStyle="1" w:styleId="TextoindependienteCar">
    <w:name w:val="Texto independiente Car"/>
    <w:basedOn w:val="Fuentedeprrafopredeter"/>
    <w:link w:val="Textoindependiente"/>
    <w:uiPriority w:val="99"/>
    <w:semiHidden/>
    <w:rsid w:val="00C33297"/>
    <w:rPr>
      <w:rFonts w:ascii="Times New Roman" w:eastAsia="Times New Roman" w:hAnsi="Times New Roman" w:cs="Times New Roman"/>
      <w:lang w:val="es-CO" w:eastAsia="es-ES_tradnl"/>
    </w:rPr>
  </w:style>
  <w:style w:type="character" w:styleId="Hipervnculo">
    <w:name w:val="Hyperlink"/>
    <w:basedOn w:val="Fuentedeprrafopredeter"/>
    <w:uiPriority w:val="99"/>
    <w:semiHidden/>
    <w:unhideWhenUsed/>
    <w:rsid w:val="00C33297"/>
  </w:style>
  <w:style w:type="character" w:styleId="Textoennegrita">
    <w:name w:val="Strong"/>
    <w:basedOn w:val="Fuentedeprrafopredeter"/>
    <w:uiPriority w:val="22"/>
    <w:qFormat/>
    <w:rsid w:val="00C33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81" TargetMode="External"/><Relationship Id="rId13" Type="http://schemas.openxmlformats.org/officeDocument/2006/relationships/hyperlink" Target="https://www.ceta.org.co/html/vista_de_un_articulo.asp?Norma=42502" TargetMode="External"/><Relationship Id="rId18" Type="http://schemas.openxmlformats.org/officeDocument/2006/relationships/hyperlink" Target="https://www.ceta.org.co/html/vista_de_un_articulo.asp?Norma=4250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42481" TargetMode="External"/><Relationship Id="rId12" Type="http://schemas.openxmlformats.org/officeDocument/2006/relationships/hyperlink" Target="https://www.ceta.org.co/html/vista_de_un_articulo.asp?Norma=42502" TargetMode="External"/><Relationship Id="rId17" Type="http://schemas.openxmlformats.org/officeDocument/2006/relationships/hyperlink" Target="https://www.ceta.org.co/html/vista_de_un_articulo.asp?Norma=42502" TargetMode="External"/><Relationship Id="rId2" Type="http://schemas.openxmlformats.org/officeDocument/2006/relationships/settings" Target="settings.xml"/><Relationship Id="rId16" Type="http://schemas.openxmlformats.org/officeDocument/2006/relationships/hyperlink" Target="https://www.ceta.org.co/html/vista_de_un_articulo.asp?Norma=42502" TargetMode="External"/><Relationship Id="rId20"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s://www.ceta.org.co/html/vista_de_un_articulo.asp?Norma=42481" TargetMode="External"/><Relationship Id="rId11" Type="http://schemas.openxmlformats.org/officeDocument/2006/relationships/hyperlink" Target="https://www.ceta.org.co/html/vista_de_un_articulo.asp?Norma=44" TargetMode="External"/><Relationship Id="rId5" Type="http://schemas.openxmlformats.org/officeDocument/2006/relationships/hyperlink" Target="https://www.ceta.org.co/html/vista_de_un_articulo.asp?Norma=42502" TargetMode="External"/><Relationship Id="rId15" Type="http://schemas.openxmlformats.org/officeDocument/2006/relationships/hyperlink" Target="https://www.ceta.org.co/html/vista_de_un_articulo.asp?Norma=438" TargetMode="External"/><Relationship Id="rId10" Type="http://schemas.openxmlformats.org/officeDocument/2006/relationships/hyperlink" Target="https://www.ceta.org.co/html/vista_de_un_articulo.asp?Norma=42481" TargetMode="External"/><Relationship Id="rId19" Type="http://schemas.openxmlformats.org/officeDocument/2006/relationships/hyperlink" Target="https://www.ceta.org.co/html/vista_de_un_articulo.asp?Norma=42502" TargetMode="External"/><Relationship Id="rId4" Type="http://schemas.openxmlformats.org/officeDocument/2006/relationships/hyperlink" Target="https://www.ceta.org.co/html/vista_de_un_articulo.asp?Norma=44" TargetMode="External"/><Relationship Id="rId9" Type="http://schemas.openxmlformats.org/officeDocument/2006/relationships/hyperlink" Target="https://www.ceta.org.co/html/vista_de_un_articulo.asp?Norma=42502" TargetMode="External"/><Relationship Id="rId14" Type="http://schemas.openxmlformats.org/officeDocument/2006/relationships/hyperlink" Target="https://www.ceta.org.co/html/vista_de_un_articulo.asp?Norma=44"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1366</Words>
  <Characters>7513</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cote</dc:creator>
  <cp:keywords/>
  <dc:description/>
  <cp:lastModifiedBy>gustavo cote</cp:lastModifiedBy>
  <cp:revision>1</cp:revision>
  <dcterms:created xsi:type="dcterms:W3CDTF">2019-10-30T15:45:00Z</dcterms:created>
  <dcterms:modified xsi:type="dcterms:W3CDTF">2019-10-30T15:48:00Z</dcterms:modified>
</cp:coreProperties>
</file>