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5F" w:rsidRPr="00CC0F5F" w:rsidRDefault="00CC0F5F" w:rsidP="00CC0F5F">
      <w:pPr>
        <w:jc w:val="center"/>
        <w:rPr>
          <w:rFonts w:ascii="Arial" w:eastAsia="Times New Roman" w:hAnsi="Arial" w:cs="Arial"/>
          <w:color w:val="000000"/>
          <w:sz w:val="18"/>
          <w:szCs w:val="18"/>
          <w:lang w:eastAsia="es-CO"/>
        </w:rPr>
      </w:pPr>
      <w:r w:rsidRPr="00CC0F5F">
        <w:rPr>
          <w:rFonts w:ascii="Segoe UI" w:eastAsia="Times New Roman" w:hAnsi="Segoe UI" w:cs="Segoe UI"/>
          <w:b/>
          <w:bCs/>
          <w:color w:val="0000FF"/>
          <w:sz w:val="28"/>
          <w:szCs w:val="28"/>
          <w:lang w:eastAsia="es-CO"/>
        </w:rPr>
        <w:t xml:space="preserve">OFICIO </w:t>
      </w:r>
      <w:proofErr w:type="spellStart"/>
      <w:r w:rsidRPr="00CC0F5F">
        <w:rPr>
          <w:rFonts w:ascii="Segoe UI" w:eastAsia="Times New Roman" w:hAnsi="Segoe UI" w:cs="Segoe UI"/>
          <w:b/>
          <w:bCs/>
          <w:color w:val="0000FF"/>
          <w:sz w:val="28"/>
          <w:szCs w:val="28"/>
          <w:lang w:eastAsia="es-CO"/>
        </w:rPr>
        <w:t>Nº</w:t>
      </w:r>
      <w:proofErr w:type="spellEnd"/>
      <w:r w:rsidRPr="00CC0F5F">
        <w:rPr>
          <w:rFonts w:ascii="Segoe UI" w:eastAsia="Times New Roman" w:hAnsi="Segoe UI" w:cs="Segoe UI"/>
          <w:b/>
          <w:bCs/>
          <w:color w:val="0000FF"/>
          <w:sz w:val="28"/>
          <w:szCs w:val="28"/>
          <w:lang w:eastAsia="es-CO"/>
        </w:rPr>
        <w:t xml:space="preserve"> 965</w:t>
      </w:r>
    </w:p>
    <w:p w:rsidR="00CC0F5F" w:rsidRPr="00CC0F5F" w:rsidRDefault="00CC0F5F" w:rsidP="00CC0F5F">
      <w:pPr>
        <w:jc w:val="center"/>
        <w:rPr>
          <w:rFonts w:ascii="Arial" w:eastAsia="Times New Roman" w:hAnsi="Arial" w:cs="Arial"/>
          <w:color w:val="000000"/>
          <w:sz w:val="18"/>
          <w:szCs w:val="18"/>
          <w:lang w:eastAsia="es-CO"/>
        </w:rPr>
      </w:pPr>
      <w:r w:rsidRPr="00CC0F5F">
        <w:rPr>
          <w:rFonts w:ascii="Segoe UI" w:eastAsia="Times New Roman" w:hAnsi="Segoe UI" w:cs="Segoe UI"/>
          <w:b/>
          <w:bCs/>
          <w:color w:val="0000FF"/>
          <w:sz w:val="28"/>
          <w:szCs w:val="28"/>
          <w:lang w:eastAsia="es-CO"/>
        </w:rPr>
        <w:t>05-08-2020</w:t>
      </w:r>
    </w:p>
    <w:p w:rsidR="00CC0F5F" w:rsidRPr="00CC0F5F" w:rsidRDefault="00CC0F5F" w:rsidP="00CC0F5F">
      <w:pPr>
        <w:jc w:val="center"/>
        <w:rPr>
          <w:rFonts w:ascii="Arial" w:eastAsia="Times New Roman" w:hAnsi="Arial" w:cs="Arial"/>
          <w:color w:val="000000"/>
          <w:sz w:val="18"/>
          <w:szCs w:val="18"/>
          <w:lang w:eastAsia="es-CO"/>
        </w:rPr>
      </w:pPr>
      <w:r w:rsidRPr="00CC0F5F">
        <w:rPr>
          <w:rFonts w:ascii="Segoe UI" w:eastAsia="Times New Roman" w:hAnsi="Segoe UI" w:cs="Segoe UI"/>
          <w:b/>
          <w:bCs/>
          <w:color w:val="0000FF"/>
          <w:sz w:val="28"/>
          <w:szCs w:val="28"/>
          <w:lang w:eastAsia="es-CO"/>
        </w:rPr>
        <w:t>DIAN</w:t>
      </w:r>
    </w:p>
    <w:p w:rsidR="00CC0F5F" w:rsidRPr="00CC0F5F" w:rsidRDefault="00CC0F5F" w:rsidP="00CC0F5F">
      <w:pPr>
        <w:rPr>
          <w:rFonts w:ascii="Arial" w:eastAsia="Times New Roman" w:hAnsi="Arial" w:cs="Arial"/>
          <w:color w:val="000000"/>
          <w:sz w:val="18"/>
          <w:szCs w:val="18"/>
          <w:lang w:eastAsia="es-CO"/>
        </w:rPr>
      </w:pPr>
      <w:r w:rsidRPr="00CC0F5F">
        <w:rPr>
          <w:rFonts w:ascii="Segoe UI" w:eastAsia="Times New Roman" w:hAnsi="Segoe UI" w:cs="Segoe UI"/>
          <w:color w:val="000000"/>
          <w:sz w:val="18"/>
          <w:szCs w:val="18"/>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 w:val="18"/>
          <w:szCs w:val="18"/>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Subdirección de Gestión Normativa y Doctrina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100208221-965</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Bogotá, D.C.</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tbl>
      <w:tblPr>
        <w:tblW w:w="0" w:type="auto"/>
        <w:tblCellMar>
          <w:left w:w="0" w:type="dxa"/>
          <w:right w:w="0" w:type="dxa"/>
        </w:tblCellMar>
        <w:tblLook w:val="04A0" w:firstRow="1" w:lastRow="0" w:firstColumn="1" w:lastColumn="0" w:noHBand="0" w:noVBand="1"/>
      </w:tblPr>
      <w:tblGrid>
        <w:gridCol w:w="2397"/>
        <w:gridCol w:w="293"/>
        <w:gridCol w:w="293"/>
        <w:gridCol w:w="5855"/>
      </w:tblGrid>
      <w:tr w:rsidR="00CC0F5F" w:rsidRPr="00CC0F5F" w:rsidTr="00CC0F5F">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b/>
                <w:bCs/>
                <w:sz w:val="28"/>
                <w:szCs w:val="28"/>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Régimen Simple de Tributación -SIMPLE</w:t>
            </w:r>
          </w:p>
        </w:tc>
      </w:tr>
      <w:tr w:rsidR="00CC0F5F" w:rsidRPr="00CC0F5F" w:rsidTr="00CC0F5F">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b/>
                <w:bCs/>
                <w:sz w:val="28"/>
                <w:szCs w:val="28"/>
                <w:lang w:eastAsia="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Requisitos</w:t>
            </w:r>
          </w:p>
        </w:tc>
      </w:tr>
      <w:tr w:rsidR="00CC0F5F" w:rsidRPr="00CC0F5F" w:rsidTr="00CC0F5F">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b/>
                <w:bCs/>
                <w:sz w:val="28"/>
                <w:szCs w:val="28"/>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0F5F" w:rsidRPr="00CC0F5F" w:rsidRDefault="00CC0F5F" w:rsidP="00CC0F5F">
            <w:pPr>
              <w:rPr>
                <w:rFonts w:ascii="Times New Roman" w:eastAsia="Times New Roman" w:hAnsi="Times New Roman" w:cs="Times New Roman"/>
                <w:sz w:val="36"/>
                <w:szCs w:val="36"/>
                <w:lang w:eastAsia="es-CO"/>
              </w:rPr>
            </w:pPr>
            <w:r w:rsidRPr="00CC0F5F">
              <w:rPr>
                <w:rFonts w:ascii="Segoe UI" w:eastAsia="Times New Roman" w:hAnsi="Segoe UI" w:cs="Segoe UI"/>
                <w:sz w:val="28"/>
                <w:szCs w:val="28"/>
                <w:lang w:eastAsia="es-CO"/>
              </w:rPr>
              <w:t>Artículos </w:t>
            </w:r>
            <w:hyperlink r:id="rId4" w:tooltip="Estatuto Tributario CETA" w:history="1">
              <w:r w:rsidRPr="00CC0F5F">
                <w:rPr>
                  <w:rFonts w:ascii="Segoe UI" w:eastAsia="Times New Roman" w:hAnsi="Segoe UI" w:cs="Segoe UI"/>
                  <w:color w:val="0089E1"/>
                  <w:sz w:val="28"/>
                  <w:szCs w:val="28"/>
                  <w:lang w:eastAsia="es-CO"/>
                </w:rPr>
                <w:t>903</w:t>
              </w:r>
            </w:hyperlink>
            <w:r w:rsidRPr="00CC0F5F">
              <w:rPr>
                <w:rFonts w:ascii="Segoe UI" w:eastAsia="Times New Roman" w:hAnsi="Segoe UI" w:cs="Segoe UI"/>
                <w:sz w:val="28"/>
                <w:szCs w:val="28"/>
                <w:lang w:eastAsia="es-CO"/>
              </w:rPr>
              <w:t> y siguientes del Estatuto Tributario</w:t>
            </w:r>
          </w:p>
        </w:tc>
      </w:tr>
    </w:tbl>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Mediante el radicado de la referencia, el peticionario plantea unas preguntas en relación con el Régimen Simple de Tributación, que serán resueltas en el orden en que fueron propuestas. Para estos efectos, el Gobierno nacional expidió recientemente el Decreto 1091 de 2020 por medio del cual se reglamentan los artículos 903 al 916 del Estatuto Tributario.</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1. ¿Los contribuyentes que cumplan con las condiciones previstas en el parágrafo 3º del artículo </w:t>
      </w:r>
      <w:hyperlink r:id="rId5" w:tooltip="Estatuto Tributario CETA" w:history="1">
        <w:r w:rsidRPr="00CC0F5F">
          <w:rPr>
            <w:rFonts w:ascii="Segoe UI" w:eastAsia="Times New Roman" w:hAnsi="Segoe UI" w:cs="Segoe UI"/>
            <w:b/>
            <w:bCs/>
            <w:color w:val="0089E1"/>
            <w:szCs w:val="24"/>
            <w:lang w:eastAsia="es-CO"/>
          </w:rPr>
          <w:t>437</w:t>
        </w:r>
      </w:hyperlink>
      <w:r w:rsidRPr="00CC0F5F">
        <w:rPr>
          <w:rFonts w:ascii="Segoe UI" w:eastAsia="Times New Roman" w:hAnsi="Segoe UI" w:cs="Segoe UI"/>
          <w:b/>
          <w:bCs/>
          <w:color w:val="000000"/>
          <w:szCs w:val="24"/>
          <w:lang w:eastAsia="es-CO"/>
        </w:rPr>
        <w:t>, </w:t>
      </w:r>
      <w:hyperlink r:id="rId6" w:tooltip="Estatuto Tributario CETA" w:history="1">
        <w:r w:rsidRPr="00CC0F5F">
          <w:rPr>
            <w:rFonts w:ascii="Segoe UI" w:eastAsia="Times New Roman" w:hAnsi="Segoe UI" w:cs="Segoe UI"/>
            <w:b/>
            <w:bCs/>
            <w:color w:val="0089E1"/>
            <w:szCs w:val="24"/>
            <w:lang w:eastAsia="es-CO"/>
          </w:rPr>
          <w:t>512-13</w:t>
        </w:r>
      </w:hyperlink>
      <w:r w:rsidRPr="00CC0F5F">
        <w:rPr>
          <w:rFonts w:ascii="Segoe UI" w:eastAsia="Times New Roman" w:hAnsi="Segoe UI" w:cs="Segoe UI"/>
          <w:b/>
          <w:bCs/>
          <w:color w:val="000000"/>
          <w:szCs w:val="24"/>
          <w:lang w:eastAsia="es-CO"/>
        </w:rPr>
        <w:t> y </w:t>
      </w:r>
      <w:hyperlink r:id="rId7" w:tooltip="Estatuto Tributario CETA" w:history="1">
        <w:r w:rsidRPr="00CC0F5F">
          <w:rPr>
            <w:rFonts w:ascii="Segoe UI" w:eastAsia="Times New Roman" w:hAnsi="Segoe UI" w:cs="Segoe UI"/>
            <w:b/>
            <w:bCs/>
            <w:color w:val="0089E1"/>
            <w:szCs w:val="24"/>
            <w:lang w:eastAsia="es-CO"/>
          </w:rPr>
          <w:t>616-2</w:t>
        </w:r>
      </w:hyperlink>
      <w:r w:rsidRPr="00CC0F5F">
        <w:rPr>
          <w:rFonts w:ascii="Segoe UI" w:eastAsia="Times New Roman" w:hAnsi="Segoe UI" w:cs="Segoe UI"/>
          <w:b/>
          <w:bCs/>
          <w:color w:val="000000"/>
          <w:szCs w:val="24"/>
          <w:lang w:eastAsia="es-CO"/>
        </w:rPr>
        <w:t xml:space="preserve"> del Estatuto Tributario y el artículo 1.6.1.4.3 del </w:t>
      </w:r>
      <w:proofErr w:type="spellStart"/>
      <w:r w:rsidRPr="00CC0F5F">
        <w:rPr>
          <w:rFonts w:ascii="Segoe UI" w:eastAsia="Times New Roman" w:hAnsi="Segoe UI" w:cs="Segoe UI"/>
          <w:b/>
          <w:bCs/>
          <w:color w:val="000000"/>
          <w:szCs w:val="24"/>
          <w:lang w:eastAsia="es-CO"/>
        </w:rPr>
        <w:t>DUT</w:t>
      </w:r>
      <w:proofErr w:type="spellEnd"/>
      <w:r w:rsidRPr="00CC0F5F">
        <w:rPr>
          <w:rFonts w:ascii="Segoe UI" w:eastAsia="Times New Roman" w:hAnsi="Segoe UI" w:cs="Segoe UI"/>
          <w:b/>
          <w:bCs/>
          <w:color w:val="000000"/>
          <w:szCs w:val="24"/>
          <w:lang w:eastAsia="es-CO"/>
        </w:rPr>
        <w:t xml:space="preserve"> no se encuentran obligados a facturar, </w:t>
      </w:r>
      <w:r w:rsidRPr="00CC0F5F">
        <w:rPr>
          <w:rFonts w:ascii="Segoe UI" w:eastAsia="Times New Roman" w:hAnsi="Segoe UI" w:cs="Segoe UI"/>
          <w:b/>
          <w:bCs/>
          <w:color w:val="000000"/>
          <w:szCs w:val="24"/>
          <w:highlight w:val="yellow"/>
          <w:lang w:eastAsia="es-CO"/>
        </w:rPr>
        <w:t>excepto si pertenecen al Régimen Simple de Tributación (RST)</w:t>
      </w:r>
      <w:r w:rsidRPr="00CC0F5F">
        <w:rPr>
          <w:rFonts w:ascii="Segoe UI" w:eastAsia="Times New Roman" w:hAnsi="Segoe UI" w:cs="Segoe UI"/>
          <w:b/>
          <w:bCs/>
          <w:color w:val="000000"/>
          <w:szCs w:val="24"/>
          <w:lang w:eastAsia="es-CO"/>
        </w:rPr>
        <w:t>?</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El </w:t>
      </w:r>
      <w:hyperlink r:id="rId8" w:tooltip="Estatuto Tributario CETA" w:history="1">
        <w:r w:rsidRPr="00CC0F5F">
          <w:rPr>
            <w:rFonts w:ascii="Segoe UI" w:eastAsia="Times New Roman" w:hAnsi="Segoe UI" w:cs="Segoe UI"/>
            <w:color w:val="0089E1"/>
            <w:szCs w:val="24"/>
            <w:lang w:eastAsia="es-CO"/>
          </w:rPr>
          <w:t>artículo 915</w:t>
        </w:r>
      </w:hyperlink>
      <w:r w:rsidRPr="00CC0F5F">
        <w:rPr>
          <w:rFonts w:ascii="Segoe UI" w:eastAsia="Times New Roman" w:hAnsi="Segoe UI" w:cs="Segoe UI"/>
          <w:color w:val="000000"/>
          <w:szCs w:val="24"/>
          <w:lang w:eastAsia="es-CO"/>
        </w:rPr>
        <w:t> del Estatuto Tributario establece que los contribuyentes del Régimen Simple de Tributación están obligados a expedir facturas electrónicas y, en su parágrafo, se indica que dichos contribuyentes deben adoptar el sistema de factura electrónica dentro de los 2 meses siguientes a su inscripción en el RUT.</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lastRenderedPageBreak/>
        <w:t>Por su parte, el numeral 6 del artículo 1.6.1.4.2 del Decreto 1625 de 2016 establece que se encuentran obligados a expedir factura de venta y/o documento equivalente por todas y cada una de las de las operaciones que realicen los contribuyentes inscritos en el Régimen Simple de Tributación.</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xml:space="preserve">Finalmente, </w:t>
      </w:r>
      <w:r w:rsidRPr="00CC0F5F">
        <w:rPr>
          <w:rFonts w:ascii="Segoe UI" w:eastAsia="Times New Roman" w:hAnsi="Segoe UI" w:cs="Segoe UI"/>
          <w:color w:val="000000"/>
          <w:szCs w:val="24"/>
          <w:highlight w:val="yellow"/>
          <w:lang w:eastAsia="es-CO"/>
        </w:rPr>
        <w:t>el artículo 1.6.1.4.28 del Decreto 1625 de 2016 señala de la siguiente forma y sin distinción que los sujetos que opten por el Régimen Simple de Tributación deben adoptar el sistema de facturación electrónica</w:t>
      </w:r>
      <w:r w:rsidRPr="00CC0F5F">
        <w:rPr>
          <w:rFonts w:ascii="Segoe UI" w:eastAsia="Times New Roman" w:hAnsi="Segoe UI" w:cs="Segoe UI"/>
          <w:color w:val="000000"/>
          <w:szCs w:val="24"/>
          <w:lang w:eastAsia="es-CO"/>
        </w:rPr>
        <w:t>:</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t>“</w:t>
      </w:r>
      <w:r w:rsidRPr="00CC0F5F">
        <w:rPr>
          <w:rFonts w:ascii="Segoe UI" w:eastAsia="Times New Roman" w:hAnsi="Segoe UI" w:cs="Segoe UI"/>
          <w:b/>
          <w:bCs/>
          <w:i/>
          <w:iCs/>
          <w:color w:val="000000"/>
          <w:szCs w:val="24"/>
          <w:lang w:eastAsia="es-CO"/>
        </w:rPr>
        <w:t>Artículo 1.6.1.4.28.</w:t>
      </w:r>
      <w:r w:rsidRPr="00CC0F5F">
        <w:rPr>
          <w:rFonts w:ascii="Segoe UI" w:eastAsia="Times New Roman" w:hAnsi="Segoe UI" w:cs="Segoe UI"/>
          <w:i/>
          <w:iCs/>
          <w:color w:val="000000"/>
          <w:szCs w:val="24"/>
          <w:lang w:eastAsia="es-CO"/>
        </w:rPr>
        <w:t> Implementación de la factura electrónica de venta para los sujetos que opten o sean inscritos en el impuesto unificado bajo el régimen simple de tributación -SIMPLE. Los sujetos que opten por el impuesto unificado bajo el régimen simple de tributación -SIMPLE, de que trata el Libro Octavo del Estatuto Tributario, tendrán un plazo de dos (2) meses contados a partir de la inscripción que se realice del citado régimen en el Registro Único Tributario (RUT), para adoptar el sistema de facturación electrónica; no obstante lo anterior, deberán expedir factura de venta o documento equivalente por las operaciones de venta de bienes o prestación de servicios, utilizando para ello los sistemas de facturación vigentes, hasta la fecha máxima para iniciar la expedición de la factura electrónica de venta.</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b/>
          <w:bCs/>
          <w:i/>
          <w:iCs/>
          <w:color w:val="000000"/>
          <w:szCs w:val="24"/>
          <w:lang w:eastAsia="es-CO"/>
        </w:rPr>
        <w:t>Parágrafo.</w:t>
      </w:r>
      <w:r w:rsidRPr="00CC0F5F">
        <w:rPr>
          <w:rFonts w:ascii="Segoe UI" w:eastAsia="Times New Roman" w:hAnsi="Segoe UI" w:cs="Segoe UI"/>
          <w:i/>
          <w:iCs/>
          <w:color w:val="000000"/>
          <w:szCs w:val="24"/>
          <w:lang w:eastAsia="es-CO"/>
        </w:rPr>
        <w:t xml:space="preserve"> Los sujetos que a la fecha de </w:t>
      </w:r>
      <w:proofErr w:type="gramStart"/>
      <w:r w:rsidRPr="00CC0F5F">
        <w:rPr>
          <w:rFonts w:ascii="Segoe UI" w:eastAsia="Times New Roman" w:hAnsi="Segoe UI" w:cs="Segoe UI"/>
          <w:i/>
          <w:iCs/>
          <w:color w:val="000000"/>
          <w:szCs w:val="24"/>
          <w:lang w:eastAsia="es-CO"/>
        </w:rPr>
        <w:t>entrada en vigencia</w:t>
      </w:r>
      <w:proofErr w:type="gramEnd"/>
      <w:r w:rsidRPr="00CC0F5F">
        <w:rPr>
          <w:rFonts w:ascii="Segoe UI" w:eastAsia="Times New Roman" w:hAnsi="Segoe UI" w:cs="Segoe UI"/>
          <w:i/>
          <w:iCs/>
          <w:color w:val="000000"/>
          <w:szCs w:val="24"/>
          <w:lang w:eastAsia="es-CO"/>
        </w:rPr>
        <w:t xml:space="preserve"> de la Ley 2010 del 27 de diciembre de 2019, se encuentren inscritos en el Registro Único Tributario (RUT), como contribuyentes del impuesto unificado bajo el régimen simple de tributación - SIMPLE, tendrán plazo para adoptar el sistema de facturación electrónica de venta hasta el primero (1°) de mayo de 2020.”</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2. ¿Los contribuyentes que desarrollan actividades establecidas en el numeral 1 del </w:t>
      </w:r>
      <w:hyperlink r:id="rId9" w:tooltip="Estatuto Tributario CETA" w:history="1">
        <w:r w:rsidRPr="00CC0F5F">
          <w:rPr>
            <w:rFonts w:ascii="Segoe UI" w:eastAsia="Times New Roman" w:hAnsi="Segoe UI" w:cs="Segoe UI"/>
            <w:b/>
            <w:bCs/>
            <w:color w:val="0089E1"/>
            <w:szCs w:val="24"/>
            <w:lang w:eastAsia="es-CO"/>
          </w:rPr>
          <w:t>artículo 908</w:t>
        </w:r>
      </w:hyperlink>
      <w:r w:rsidRPr="00CC0F5F">
        <w:rPr>
          <w:rFonts w:ascii="Segoe UI" w:eastAsia="Times New Roman" w:hAnsi="Segoe UI" w:cs="Segoe UI"/>
          <w:b/>
          <w:bCs/>
          <w:color w:val="000000"/>
          <w:szCs w:val="24"/>
          <w:lang w:eastAsia="es-CO"/>
        </w:rPr>
        <w:t> del Estatuto Tributario y que al mismo tiempo perciben ingresos por actividades de los numerales 2, 3 y 4 de dicho artículo, son responsables y deben generar IVA por los ingresos que obtengan de las actividades de los numerales 2, 3 y 4, o también deben generar IVA por las actividades del numeral 1?</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El parágrafo 4 del </w:t>
      </w:r>
      <w:hyperlink r:id="rId10" w:tooltip="Estatuto Tributario CETA" w:history="1">
        <w:r w:rsidRPr="00CC0F5F">
          <w:rPr>
            <w:rFonts w:ascii="Segoe UI" w:eastAsia="Times New Roman" w:hAnsi="Segoe UI" w:cs="Segoe UI"/>
            <w:color w:val="0089E1"/>
            <w:szCs w:val="24"/>
            <w:lang w:eastAsia="es-CO"/>
          </w:rPr>
          <w:t>artículo 437</w:t>
        </w:r>
      </w:hyperlink>
      <w:r w:rsidRPr="00CC0F5F">
        <w:rPr>
          <w:rFonts w:ascii="Segoe UI" w:eastAsia="Times New Roman" w:hAnsi="Segoe UI" w:cs="Segoe UI"/>
          <w:color w:val="000000"/>
          <w:szCs w:val="24"/>
          <w:lang w:eastAsia="es-CO"/>
        </w:rPr>
        <w:t xml:space="preserve"> del Estatuto Tributario establece que no son responsables del IVA los contribuyentes del Régimen Simple de Tributación cuando </w:t>
      </w:r>
      <w:r w:rsidRPr="00CC0F5F">
        <w:rPr>
          <w:rFonts w:ascii="Segoe UI" w:eastAsia="Times New Roman" w:hAnsi="Segoe UI" w:cs="Segoe UI"/>
          <w:color w:val="000000"/>
          <w:szCs w:val="24"/>
          <w:highlight w:val="yellow"/>
          <w:lang w:eastAsia="es-CO"/>
        </w:rPr>
        <w:t>únicamente</w:t>
      </w:r>
      <w:r w:rsidRPr="00CC0F5F">
        <w:rPr>
          <w:rFonts w:ascii="Segoe UI" w:eastAsia="Times New Roman" w:hAnsi="Segoe UI" w:cs="Segoe UI"/>
          <w:color w:val="000000"/>
          <w:szCs w:val="24"/>
          <w:lang w:eastAsia="es-CO"/>
        </w:rPr>
        <w:t xml:space="preserve"> desarrollen una o más actividades establecidas en el numeral 1 del </w:t>
      </w:r>
      <w:hyperlink r:id="rId11" w:tooltip="Estatuto Tributario CETA" w:history="1">
        <w:r w:rsidRPr="00CC0F5F">
          <w:rPr>
            <w:rFonts w:ascii="Segoe UI" w:eastAsia="Times New Roman" w:hAnsi="Segoe UI" w:cs="Segoe UI"/>
            <w:color w:val="0089E1"/>
            <w:szCs w:val="24"/>
            <w:lang w:eastAsia="es-CO"/>
          </w:rPr>
          <w:t>artículo 908</w:t>
        </w:r>
      </w:hyperlink>
      <w:r w:rsidRPr="00CC0F5F">
        <w:rPr>
          <w:rFonts w:ascii="Segoe UI" w:eastAsia="Times New Roman" w:hAnsi="Segoe UI" w:cs="Segoe UI"/>
          <w:color w:val="000000"/>
          <w:szCs w:val="24"/>
          <w:lang w:eastAsia="es-CO"/>
        </w:rPr>
        <w:t> del Estatuto Tributario.</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xml:space="preserve">En consecuencia, </w:t>
      </w:r>
      <w:r w:rsidRPr="00CC0F5F">
        <w:rPr>
          <w:rFonts w:ascii="Segoe UI" w:eastAsia="Times New Roman" w:hAnsi="Segoe UI" w:cs="Segoe UI"/>
          <w:color w:val="000000"/>
          <w:szCs w:val="24"/>
          <w:highlight w:val="yellow"/>
          <w:lang w:eastAsia="es-CO"/>
        </w:rPr>
        <w:t xml:space="preserve">cuando los contribuyentes del Régimen Simple de Tributación desarrollen las actividades del numeral 1 y, adicionalmente, otras actividades </w:t>
      </w:r>
      <w:r w:rsidRPr="00CC0F5F">
        <w:rPr>
          <w:rFonts w:ascii="Segoe UI" w:eastAsia="Times New Roman" w:hAnsi="Segoe UI" w:cs="Segoe UI"/>
          <w:color w:val="000000"/>
          <w:szCs w:val="24"/>
          <w:highlight w:val="yellow"/>
          <w:lang w:eastAsia="es-CO"/>
        </w:rPr>
        <w:lastRenderedPageBreak/>
        <w:t>incluidas en los demás numerales del </w:t>
      </w:r>
      <w:hyperlink r:id="rId12" w:tooltip="Estatuto Tributario CETA" w:history="1">
        <w:r w:rsidRPr="00CC0F5F">
          <w:rPr>
            <w:rFonts w:ascii="Segoe UI" w:eastAsia="Times New Roman" w:hAnsi="Segoe UI" w:cs="Segoe UI"/>
            <w:color w:val="0089E1"/>
            <w:szCs w:val="24"/>
            <w:highlight w:val="yellow"/>
            <w:lang w:eastAsia="es-CO"/>
          </w:rPr>
          <w:t>artículo 908</w:t>
        </w:r>
      </w:hyperlink>
      <w:r w:rsidRPr="00CC0F5F">
        <w:rPr>
          <w:rFonts w:ascii="Segoe UI" w:eastAsia="Times New Roman" w:hAnsi="Segoe UI" w:cs="Segoe UI"/>
          <w:color w:val="000000"/>
          <w:szCs w:val="24"/>
          <w:highlight w:val="yellow"/>
          <w:lang w:eastAsia="es-CO"/>
        </w:rPr>
        <w:t> del Estatuto Tributario, el impuesto sobre las ventas se causará y serán responsables respecto a la totalidad de las actividades, de conformidad con las disposiciones correspondientes</w:t>
      </w:r>
      <w:r w:rsidRPr="00CC0F5F">
        <w:rPr>
          <w:rFonts w:ascii="Segoe UI" w:eastAsia="Times New Roman" w:hAnsi="Segoe UI" w:cs="Segoe UI"/>
          <w:color w:val="000000"/>
          <w:szCs w:val="24"/>
          <w:lang w:eastAsia="es-CO"/>
        </w:rPr>
        <w:t>.</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3. ¿Cuál son las consecuencias tributarias a que se encuentran expuestos los contribuyentes del Régimen Simple de Tributación (RST) en el evento de no solicitar las facturas o documentos equivalentes a sus proveedores de bienes y servicios de conformidad con el </w:t>
      </w:r>
      <w:hyperlink r:id="rId13" w:tooltip="Estatuto Tributario CETA" w:history="1">
        <w:r w:rsidRPr="00CC0F5F">
          <w:rPr>
            <w:rFonts w:ascii="Segoe UI" w:eastAsia="Times New Roman" w:hAnsi="Segoe UI" w:cs="Segoe UI"/>
            <w:b/>
            <w:bCs/>
            <w:color w:val="0089E1"/>
            <w:szCs w:val="24"/>
            <w:lang w:eastAsia="es-CO"/>
          </w:rPr>
          <w:t>artículo 915</w:t>
        </w:r>
      </w:hyperlink>
      <w:r w:rsidRPr="00CC0F5F">
        <w:rPr>
          <w:rFonts w:ascii="Segoe UI" w:eastAsia="Times New Roman" w:hAnsi="Segoe UI" w:cs="Segoe UI"/>
          <w:b/>
          <w:bCs/>
          <w:color w:val="000000"/>
          <w:szCs w:val="24"/>
          <w:lang w:eastAsia="es-CO"/>
        </w:rPr>
        <w:t> del ET?</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En primer lugar, es pertinente tener en cuenta de manera armónica las disposiciones de los artículos </w:t>
      </w:r>
      <w:hyperlink r:id="rId14" w:tooltip="Estatuto Tributario CETA" w:history="1">
        <w:r w:rsidRPr="00CC0F5F">
          <w:rPr>
            <w:rFonts w:ascii="Segoe UI" w:eastAsia="Times New Roman" w:hAnsi="Segoe UI" w:cs="Segoe UI"/>
            <w:color w:val="0089E1"/>
            <w:szCs w:val="24"/>
            <w:lang w:eastAsia="es-CO"/>
          </w:rPr>
          <w:t>177-2</w:t>
        </w:r>
      </w:hyperlink>
      <w:r w:rsidRPr="00CC0F5F">
        <w:rPr>
          <w:rFonts w:ascii="Segoe UI" w:eastAsia="Times New Roman" w:hAnsi="Segoe UI" w:cs="Segoe UI"/>
          <w:color w:val="000000"/>
          <w:szCs w:val="24"/>
          <w:lang w:eastAsia="es-CO"/>
        </w:rPr>
        <w:t>, </w:t>
      </w:r>
      <w:hyperlink r:id="rId15" w:tooltip="Estatuto Tributario CETA" w:history="1">
        <w:r w:rsidRPr="00CC0F5F">
          <w:rPr>
            <w:rFonts w:ascii="Segoe UI" w:eastAsia="Times New Roman" w:hAnsi="Segoe UI" w:cs="Segoe UI"/>
            <w:color w:val="0089E1"/>
            <w:szCs w:val="24"/>
            <w:lang w:eastAsia="es-CO"/>
          </w:rPr>
          <w:t>488</w:t>
        </w:r>
      </w:hyperlink>
      <w:r w:rsidRPr="00CC0F5F">
        <w:rPr>
          <w:rFonts w:ascii="Segoe UI" w:eastAsia="Times New Roman" w:hAnsi="Segoe UI" w:cs="Segoe UI"/>
          <w:color w:val="000000"/>
          <w:szCs w:val="24"/>
          <w:lang w:eastAsia="es-CO"/>
        </w:rPr>
        <w:t> y </w:t>
      </w:r>
      <w:hyperlink r:id="rId16" w:tooltip="Estatuto Tributario CETA" w:history="1">
        <w:r w:rsidRPr="00CC0F5F">
          <w:rPr>
            <w:rFonts w:ascii="Segoe UI" w:eastAsia="Times New Roman" w:hAnsi="Segoe UI" w:cs="Segoe UI"/>
            <w:color w:val="0089E1"/>
            <w:szCs w:val="24"/>
            <w:lang w:eastAsia="es-CO"/>
          </w:rPr>
          <w:t>771-2</w:t>
        </w:r>
      </w:hyperlink>
      <w:r w:rsidRPr="00CC0F5F">
        <w:rPr>
          <w:rFonts w:ascii="Segoe UI" w:eastAsia="Times New Roman" w:hAnsi="Segoe UI" w:cs="Segoe UI"/>
          <w:color w:val="000000"/>
          <w:szCs w:val="24"/>
          <w:lang w:eastAsia="es-CO"/>
        </w:rPr>
        <w:t> del Estatuto Tributario. Respecto a este último, se debe resaltar que la procedencia de impuestos descontables para efectos del IVA se encuentra supeditada a expedición y comprobación por medio de facturas y/o documentos equivalentes con cumplimiento de los requisitos establecidos en la ley.</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Por otra parte, el </w:t>
      </w:r>
      <w:hyperlink r:id="rId17" w:tooltip="Estatuto Tributario CETA" w:history="1">
        <w:r w:rsidRPr="00CC0F5F">
          <w:rPr>
            <w:rFonts w:ascii="Segoe UI" w:eastAsia="Times New Roman" w:hAnsi="Segoe UI" w:cs="Segoe UI"/>
            <w:color w:val="0089E1"/>
            <w:szCs w:val="24"/>
            <w:lang w:eastAsia="es-CO"/>
          </w:rPr>
          <w:t>artículo 915</w:t>
        </w:r>
      </w:hyperlink>
      <w:r w:rsidRPr="00CC0F5F">
        <w:rPr>
          <w:rFonts w:ascii="Segoe UI" w:eastAsia="Times New Roman" w:hAnsi="Segoe UI" w:cs="Segoe UI"/>
          <w:color w:val="000000"/>
          <w:szCs w:val="24"/>
          <w:lang w:eastAsia="es-CO"/>
        </w:rPr>
        <w:t> del Estatuto Tributario establece que los contribuyentes del Régimen Simple de Tributación, están obligados a expedir facturas electrónicas y/o documentos equivalentes y a solicitar las facturas o documento equivalente a sus proveedores de bienes y servicios, según las normas generales consagradas en el marco tributario. Para estos efectos, se debe tener en consideración las disposiciones consagradas en el numeral 11 del artículo 1.5.8.4.2 del Decreto 1625 de 2016.</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xml:space="preserve">4. ¿Si las sociedades nacionales que tengan por socios, personas naturales No residentes o socios personas jurídicas nacionales o extranjeras no pueden pertenecer al Régimen Simple de Tributación (RST), la referencia que hacen los numerales 1 y 2 del artículo 1.2.1.10.7 del </w:t>
      </w:r>
      <w:proofErr w:type="spellStart"/>
      <w:r w:rsidRPr="00CC0F5F">
        <w:rPr>
          <w:rFonts w:ascii="Segoe UI" w:eastAsia="Times New Roman" w:hAnsi="Segoe UI" w:cs="Segoe UI"/>
          <w:b/>
          <w:bCs/>
          <w:color w:val="000000"/>
          <w:szCs w:val="24"/>
          <w:lang w:eastAsia="es-CO"/>
        </w:rPr>
        <w:t>DUT</w:t>
      </w:r>
      <w:proofErr w:type="spellEnd"/>
      <w:r w:rsidRPr="00CC0F5F">
        <w:rPr>
          <w:rFonts w:ascii="Segoe UI" w:eastAsia="Times New Roman" w:hAnsi="Segoe UI" w:cs="Segoe UI"/>
          <w:b/>
          <w:bCs/>
          <w:color w:val="000000"/>
          <w:szCs w:val="24"/>
          <w:lang w:eastAsia="es-CO"/>
        </w:rPr>
        <w:t xml:space="preserve"> a las tarifas en materia de dividendos al inciso 1º del </w:t>
      </w:r>
      <w:hyperlink r:id="rId18" w:tooltip="Estatuto Tributario CETA" w:history="1">
        <w:r w:rsidRPr="00CC0F5F">
          <w:rPr>
            <w:rFonts w:ascii="Segoe UI" w:eastAsia="Times New Roman" w:hAnsi="Segoe UI" w:cs="Segoe UI"/>
            <w:b/>
            <w:bCs/>
            <w:color w:val="0089E1"/>
            <w:szCs w:val="24"/>
            <w:lang w:eastAsia="es-CO"/>
          </w:rPr>
          <w:t>artículo 242-1</w:t>
        </w:r>
      </w:hyperlink>
      <w:r w:rsidRPr="00CC0F5F">
        <w:rPr>
          <w:rFonts w:ascii="Segoe UI" w:eastAsia="Times New Roman" w:hAnsi="Segoe UI" w:cs="Segoe UI"/>
          <w:b/>
          <w:bCs/>
          <w:color w:val="000000"/>
          <w:szCs w:val="24"/>
          <w:lang w:eastAsia="es-CO"/>
        </w:rPr>
        <w:t>, inciso 1º del </w:t>
      </w:r>
      <w:hyperlink r:id="rId19" w:tooltip="Estatuto Tributario CETA" w:history="1">
        <w:r w:rsidRPr="00CC0F5F">
          <w:rPr>
            <w:rFonts w:ascii="Segoe UI" w:eastAsia="Times New Roman" w:hAnsi="Segoe UI" w:cs="Segoe UI"/>
            <w:b/>
            <w:bCs/>
            <w:color w:val="0089E1"/>
            <w:szCs w:val="24"/>
            <w:lang w:eastAsia="es-CO"/>
          </w:rPr>
          <w:t>artículo 245</w:t>
        </w:r>
      </w:hyperlink>
      <w:r w:rsidRPr="00CC0F5F">
        <w:rPr>
          <w:rFonts w:ascii="Segoe UI" w:eastAsia="Times New Roman" w:hAnsi="Segoe UI" w:cs="Segoe UI"/>
          <w:b/>
          <w:bCs/>
          <w:color w:val="000000"/>
          <w:szCs w:val="24"/>
          <w:lang w:eastAsia="es-CO"/>
        </w:rPr>
        <w:t>, el inciso 2º del </w:t>
      </w:r>
      <w:hyperlink r:id="rId20" w:tooltip="Estatuto Tributario CETA" w:history="1">
        <w:r w:rsidRPr="00CC0F5F">
          <w:rPr>
            <w:rFonts w:ascii="Segoe UI" w:eastAsia="Times New Roman" w:hAnsi="Segoe UI" w:cs="Segoe UI"/>
            <w:b/>
            <w:bCs/>
            <w:color w:val="0089E1"/>
            <w:szCs w:val="24"/>
            <w:lang w:eastAsia="es-CO"/>
          </w:rPr>
          <w:t>artículo 242-1</w:t>
        </w:r>
      </w:hyperlink>
      <w:r w:rsidRPr="00CC0F5F">
        <w:rPr>
          <w:rFonts w:ascii="Segoe UI" w:eastAsia="Times New Roman" w:hAnsi="Segoe UI" w:cs="Segoe UI"/>
          <w:b/>
          <w:bCs/>
          <w:color w:val="000000"/>
          <w:szCs w:val="24"/>
          <w:lang w:eastAsia="es-CO"/>
        </w:rPr>
        <w:t> y el parágrafo 1º del </w:t>
      </w:r>
      <w:hyperlink r:id="rId21" w:tooltip="Estatuto Tributario CETA" w:history="1">
        <w:r w:rsidRPr="00CC0F5F">
          <w:rPr>
            <w:rFonts w:ascii="Segoe UI" w:eastAsia="Times New Roman" w:hAnsi="Segoe UI" w:cs="Segoe UI"/>
            <w:b/>
            <w:bCs/>
            <w:color w:val="0089E1"/>
            <w:szCs w:val="24"/>
            <w:lang w:eastAsia="es-CO"/>
          </w:rPr>
          <w:t>artículo 245</w:t>
        </w:r>
      </w:hyperlink>
      <w:r w:rsidRPr="00CC0F5F">
        <w:rPr>
          <w:rFonts w:ascii="Segoe UI" w:eastAsia="Times New Roman" w:hAnsi="Segoe UI" w:cs="Segoe UI"/>
          <w:b/>
          <w:bCs/>
          <w:color w:val="000000"/>
          <w:szCs w:val="24"/>
          <w:lang w:eastAsia="es-CO"/>
        </w:rPr>
        <w:t> del Estatuto Tributario, solo son aplicables a quienes la administración registre en el RST de manera oficiosa?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El </w:t>
      </w:r>
      <w:hyperlink r:id="rId22" w:tooltip="Estatuto Tributario CETA" w:history="1">
        <w:r w:rsidRPr="00CC0F5F">
          <w:rPr>
            <w:rFonts w:ascii="Segoe UI" w:eastAsia="Times New Roman" w:hAnsi="Segoe UI" w:cs="Segoe UI"/>
            <w:color w:val="0089E1"/>
            <w:szCs w:val="24"/>
            <w:lang w:eastAsia="es-CO"/>
          </w:rPr>
          <w:t>artículo 905 </w:t>
        </w:r>
      </w:hyperlink>
      <w:r w:rsidRPr="00CC0F5F">
        <w:rPr>
          <w:rFonts w:ascii="Segoe UI" w:eastAsia="Times New Roman" w:hAnsi="Segoe UI" w:cs="Segoe UI"/>
          <w:color w:val="000000"/>
          <w:szCs w:val="24"/>
          <w:lang w:eastAsia="es-CO"/>
        </w:rPr>
        <w:t>del Estatuto Tributario establece, expresamente y sin perjuicio de las demás condiciones previstas en dicha disposición, que podrán ser sujetos pasivos del Régimen Simple de Tributación “</w:t>
      </w:r>
      <w:r w:rsidRPr="00CC0F5F">
        <w:rPr>
          <w:rFonts w:ascii="Segoe UI" w:eastAsia="Times New Roman" w:hAnsi="Segoe UI" w:cs="Segoe UI"/>
          <w:i/>
          <w:iCs/>
          <w:color w:val="000000"/>
          <w:szCs w:val="24"/>
          <w:lang w:eastAsia="es-CO"/>
        </w:rPr>
        <w:t>una persona jurídica en la que sus socios, partícipes o accionistas sean personas naturales, nacionales o extranjeras, residentes en Colombia</w:t>
      </w:r>
      <w:r w:rsidRPr="00CC0F5F">
        <w:rPr>
          <w:rFonts w:ascii="Segoe UI" w:eastAsia="Times New Roman" w:hAnsi="Segoe UI" w:cs="Segoe UI"/>
          <w:color w:val="000000"/>
          <w:szCs w:val="24"/>
          <w:lang w:eastAsia="es-CO"/>
        </w:rPr>
        <w:t>.”</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Al respecto, esta Dependencia, por medio del Oficio No. 028964 de 21 de noviembre de 2019, explicó:</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lastRenderedPageBreak/>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t>“Por lo anterior, no podrán ser sujetos pasivos del impuesto unificado bajo régimen simple de tributación -SIMPLE, las personas jurídicas que tengan como socios, partícipes o accionistas a:</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t>a) Personas naturales nacionales o extranjeras, no residentes en Colombia.</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i/>
          <w:iCs/>
          <w:color w:val="000000"/>
          <w:szCs w:val="24"/>
          <w:lang w:eastAsia="es-CO"/>
        </w:rPr>
        <w:t>b) Personas jurídicas nacionales o extranjeras, independientemente que sean o no residentes fiscales en Colombia”.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Por lo tanto, el artículo 1.2.1.10.7 del Decreto 1625 de 2016 debe interpretarse armónicamente con el </w:t>
      </w:r>
      <w:hyperlink r:id="rId23" w:tooltip="Estatuto Tributario CETA" w:history="1">
        <w:r w:rsidRPr="00CC0F5F">
          <w:rPr>
            <w:rFonts w:ascii="Segoe UI" w:eastAsia="Times New Roman" w:hAnsi="Segoe UI" w:cs="Segoe UI"/>
            <w:color w:val="0089E1"/>
            <w:szCs w:val="24"/>
            <w:lang w:eastAsia="es-CO"/>
          </w:rPr>
          <w:t>artículo 905</w:t>
        </w:r>
      </w:hyperlink>
      <w:r w:rsidRPr="00CC0F5F">
        <w:rPr>
          <w:rFonts w:ascii="Segoe UI" w:eastAsia="Times New Roman" w:hAnsi="Segoe UI" w:cs="Segoe UI"/>
          <w:color w:val="000000"/>
          <w:szCs w:val="24"/>
          <w:lang w:eastAsia="es-CO"/>
        </w:rPr>
        <w:t> del Estatuto Tributario y la doctrina señalada arriba.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5. ¿Las personas naturales residentes que eventualmente sean socios de sociedades nacionales contribuyentes del Régimen Simple de Tributación, pero que también pertenezcan al RST, deben gravar los ingresos que perciben como socios a título de dividendos o participaciones como parte de sus ingresos totales en el RST o los deben gravar con el Impuesto a los Dividendos?</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De acuerdo con el </w:t>
      </w:r>
      <w:hyperlink r:id="rId24" w:tooltip="Estatuto Tributario CETA" w:history="1">
        <w:r w:rsidRPr="00CC0F5F">
          <w:rPr>
            <w:rFonts w:ascii="Segoe UI" w:eastAsia="Times New Roman" w:hAnsi="Segoe UI" w:cs="Segoe UI"/>
            <w:color w:val="0089E1"/>
            <w:szCs w:val="24"/>
            <w:lang w:eastAsia="es-CO"/>
          </w:rPr>
          <w:t>artículo 904</w:t>
        </w:r>
      </w:hyperlink>
      <w:r w:rsidRPr="00CC0F5F">
        <w:rPr>
          <w:rFonts w:ascii="Segoe UI" w:eastAsia="Times New Roman" w:hAnsi="Segoe UI" w:cs="Segoe UI"/>
          <w:color w:val="000000"/>
          <w:szCs w:val="24"/>
          <w:lang w:eastAsia="es-CO"/>
        </w:rPr>
        <w:t> del Estatuto Tributario, la base gravable del impuesto unificado bajo el régimen simple de tributación –SIMPLE está integrada por la totalidad de los ingresos brutos, ordinarios y extraordinarios, percibidos en el respectivo período gravable.</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Sin embargo, el parágrafo de dicha disposición normativa establece que no integran la base gravable los ingresos no constitutivos de renta ni ganancia ocasional, para lo cual se debe tener en cuenta que, si las utilidades obtenidas por las personas jurídicas que provengan de ingresos que estuvieron sometidos en su totalidad al impuesto unificado bajo el Régimen Simple de Tributación, se entenderá que han sido declaradas en cabeza de la sociedad (artículo 1.2.1.10.7. del Decreto 1625 de 2016), por lo que en este caso son ingresos no constitutivos de renta ni ganancia ocasional para el accionista contribuyente del Régimen Simple de Tributación.</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Lo anterior sin perjuicio de la retención en la fuente por concepto de dividendos cuando el accionista no sea contribuyente del Régimen Simple de Tributación y sin perjuicio del impuesto a cargo cuando las utilidades no estuvieron sometidas al impuesto unificado bajo el Régimen Simple de Tributación, de conformidad con las demás disposiciones del artículo 1.2.1.10.7. del Decreto 1625 de 2016.</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ind w:left="284"/>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lastRenderedPageBreak/>
        <w:t>6. ¿Si para el año gravable 2019 y respecto de la mayoría de municipios para el año gravable 2020, el recaudo del Impuesto de Industria y Comercio (ICA) radica en cabeza de los mismos municipios o distritos de acuerdo con el </w:t>
      </w:r>
      <w:hyperlink r:id="rId25" w:tooltip="Estatuto Tributario CETA" w:history="1">
        <w:r w:rsidRPr="00CC0F5F">
          <w:rPr>
            <w:rFonts w:ascii="Segoe UI" w:eastAsia="Times New Roman" w:hAnsi="Segoe UI" w:cs="Segoe UI"/>
            <w:b/>
            <w:bCs/>
            <w:color w:val="0089E1"/>
            <w:szCs w:val="24"/>
            <w:lang w:eastAsia="es-CO"/>
          </w:rPr>
          <w:t>artículo 907</w:t>
        </w:r>
      </w:hyperlink>
      <w:r w:rsidRPr="00CC0F5F">
        <w:rPr>
          <w:rFonts w:ascii="Segoe UI" w:eastAsia="Times New Roman" w:hAnsi="Segoe UI" w:cs="Segoe UI"/>
          <w:b/>
          <w:bCs/>
          <w:color w:val="000000"/>
          <w:szCs w:val="24"/>
          <w:lang w:eastAsia="es-CO"/>
        </w:rPr>
        <w:t xml:space="preserve"> del ET y los artículos 1.5.8.3.8 y 1.5.8.3.11 del </w:t>
      </w:r>
      <w:proofErr w:type="spellStart"/>
      <w:r w:rsidRPr="00CC0F5F">
        <w:rPr>
          <w:rFonts w:ascii="Segoe UI" w:eastAsia="Times New Roman" w:hAnsi="Segoe UI" w:cs="Segoe UI"/>
          <w:b/>
          <w:bCs/>
          <w:color w:val="000000"/>
          <w:szCs w:val="24"/>
          <w:lang w:eastAsia="es-CO"/>
        </w:rPr>
        <w:t>DUT</w:t>
      </w:r>
      <w:proofErr w:type="spellEnd"/>
      <w:r w:rsidRPr="00CC0F5F">
        <w:rPr>
          <w:rFonts w:ascii="Segoe UI" w:eastAsia="Times New Roman" w:hAnsi="Segoe UI" w:cs="Segoe UI"/>
          <w:b/>
          <w:bCs/>
          <w:color w:val="000000"/>
          <w:szCs w:val="24"/>
          <w:lang w:eastAsia="es-CO"/>
        </w:rPr>
        <w:t>, entonces el mecanismo de recaudo del Impuesto que representa la retención en la fuente por ICA, se aplica a los contribuyentes que pertenezcan al RST o en todo caso siempre estos contribuyentes No son sujetos de retención en la fuente a título de ICA?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Default="00CC0F5F" w:rsidP="00CC0F5F">
      <w:pPr>
        <w:rPr>
          <w:rFonts w:ascii="Segoe UI" w:eastAsia="Times New Roman" w:hAnsi="Segoe UI" w:cs="Segoe UI"/>
          <w:color w:val="000000"/>
          <w:szCs w:val="24"/>
          <w:lang w:eastAsia="es-CO"/>
        </w:rPr>
      </w:pPr>
      <w:r w:rsidRPr="00CC0F5F">
        <w:rPr>
          <w:rFonts w:ascii="Segoe UI" w:eastAsia="Times New Roman" w:hAnsi="Segoe UI" w:cs="Segoe UI"/>
          <w:color w:val="000000"/>
          <w:szCs w:val="24"/>
          <w:lang w:eastAsia="es-CO"/>
        </w:rPr>
        <w:t>El </w:t>
      </w:r>
      <w:hyperlink r:id="rId26" w:tooltip="Estatuto Tributario CETA" w:history="1">
        <w:r w:rsidRPr="00CC0F5F">
          <w:rPr>
            <w:rFonts w:ascii="Segoe UI" w:eastAsia="Times New Roman" w:hAnsi="Segoe UI" w:cs="Segoe UI"/>
            <w:color w:val="0089E1"/>
            <w:szCs w:val="24"/>
            <w:lang w:eastAsia="es-CO"/>
          </w:rPr>
          <w:t>artículo 911</w:t>
        </w:r>
      </w:hyperlink>
      <w:r w:rsidRPr="00CC0F5F">
        <w:rPr>
          <w:rFonts w:ascii="Segoe UI" w:eastAsia="Times New Roman" w:hAnsi="Segoe UI" w:cs="Segoe UI"/>
          <w:color w:val="000000"/>
          <w:szCs w:val="24"/>
          <w:lang w:eastAsia="es-CO"/>
        </w:rPr>
        <w:t> del Estatuto Tributario establece que los contribuyentes del Régimen Simple de Tributación no están sujetos a retención en la fuente y tampoco están obligados a practicar retenciones y autorretenciones en la fuente, con excepción de las correspondientes a pagos laborales. Esta disposición normativa se encuentra reglame</w:t>
      </w:r>
      <w:bookmarkStart w:id="0" w:name="_GoBack"/>
      <w:bookmarkEnd w:id="0"/>
      <w:r w:rsidRPr="00CC0F5F">
        <w:rPr>
          <w:rFonts w:ascii="Segoe UI" w:eastAsia="Times New Roman" w:hAnsi="Segoe UI" w:cs="Segoe UI"/>
          <w:color w:val="000000"/>
          <w:szCs w:val="24"/>
          <w:lang w:eastAsia="es-CO"/>
        </w:rPr>
        <w:t>ntada en el artículo 1.5.8.3.1 del Decreto 1625 de 2016.</w:t>
      </w:r>
    </w:p>
    <w:p w:rsidR="00B416B4" w:rsidRDefault="00B416B4" w:rsidP="00CC0F5F">
      <w:pPr>
        <w:rPr>
          <w:rFonts w:ascii="Segoe UI" w:eastAsia="Times New Roman" w:hAnsi="Segoe UI" w:cs="Segoe UI"/>
          <w:color w:val="000000"/>
          <w:szCs w:val="24"/>
          <w:lang w:eastAsia="es-CO"/>
        </w:rPr>
      </w:pPr>
    </w:p>
    <w:p w:rsidR="00B416B4" w:rsidRPr="00CC0F5F" w:rsidRDefault="00B416B4" w:rsidP="00CC0F5F">
      <w:pPr>
        <w:rPr>
          <w:rFonts w:ascii="Arial" w:eastAsia="Times New Roman" w:hAnsi="Arial" w:cs="Arial"/>
          <w:color w:val="000000"/>
          <w:sz w:val="22"/>
          <w:lang w:eastAsia="es-CO"/>
        </w:rPr>
      </w:pPr>
      <w:r w:rsidRPr="00B416B4">
        <w:rPr>
          <w:rFonts w:ascii="Segoe UI" w:eastAsia="Times New Roman" w:hAnsi="Segoe UI" w:cs="Segoe UI"/>
          <w:color w:val="000000"/>
          <w:sz w:val="22"/>
          <w:lang w:eastAsia="es-CO"/>
        </w:rPr>
        <w:t>[</w:t>
      </w:r>
      <w:r w:rsidRPr="00B416B4">
        <w:rPr>
          <w:rFonts w:ascii="Segoe UI" w:eastAsia="Times New Roman" w:hAnsi="Segoe UI" w:cs="Segoe UI"/>
          <w:color w:val="000000"/>
          <w:sz w:val="22"/>
          <w:lang w:eastAsia="es-CO"/>
        </w:rPr>
        <w:t>Artículo 1.5.8.3.8</w:t>
      </w:r>
      <w:r w:rsidRPr="00B416B4">
        <w:rPr>
          <w:rFonts w:ascii="Segoe UI" w:eastAsia="Times New Roman" w:hAnsi="Segoe UI" w:cs="Segoe UI"/>
          <w:color w:val="000000"/>
          <w:sz w:val="22"/>
          <w:lang w:eastAsia="es-CO"/>
        </w:rPr>
        <w:t xml:space="preserve">. […]. </w:t>
      </w:r>
      <w:r w:rsidRPr="00B416B4">
        <w:rPr>
          <w:sz w:val="22"/>
          <w:szCs w:val="20"/>
        </w:rPr>
        <w:t>Para el año gravable 2020, el recaudo del impuesto de industria y comercio -ICA, su complementario de avisos y tableros y la sobretasa bomberil, seguirá en cabeza de los municipios y/o distritos que no adoptaron la tarifa del impuesto de industria y comercio consolidado en el año 2019</w:t>
      </w:r>
      <w:r w:rsidRPr="00B416B4">
        <w:rPr>
          <w:sz w:val="22"/>
          <w:szCs w:val="20"/>
        </w:rPr>
        <w:t>]</w:t>
      </w:r>
      <w:r w:rsidRPr="00B416B4">
        <w:rPr>
          <w:sz w:val="22"/>
          <w:szCs w:val="20"/>
        </w:rPr>
        <w:t>.</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27" w:history="1">
        <w:r w:rsidRPr="00CC0F5F">
          <w:rPr>
            <w:rFonts w:ascii="Segoe UI" w:eastAsia="Times New Roman" w:hAnsi="Segoe UI" w:cs="Segoe UI"/>
            <w:color w:val="0563C1"/>
            <w:szCs w:val="24"/>
            <w:lang w:eastAsia="es-CO"/>
          </w:rPr>
          <w:t>www.dian.gov.co</w:t>
        </w:r>
      </w:hyperlink>
      <w:r w:rsidRPr="00CC0F5F">
        <w:rPr>
          <w:rFonts w:ascii="Segoe UI" w:eastAsia="Times New Roman" w:hAnsi="Segoe UI" w:cs="Segoe UI"/>
          <w:color w:val="000000"/>
          <w:szCs w:val="24"/>
          <w:lang w:eastAsia="es-CO"/>
        </w:rPr>
        <w:t xml:space="preserve">, la base de conceptos en materia tributaria, aduanera y cambiaria expedidos desde el año 2001, la cual se puede ingresar por el ícono de “Normatividad”–“técnica”–, dando </w:t>
      </w:r>
      <w:proofErr w:type="spellStart"/>
      <w:r w:rsidRPr="00CC0F5F">
        <w:rPr>
          <w:rFonts w:ascii="Segoe UI" w:eastAsia="Times New Roman" w:hAnsi="Segoe UI" w:cs="Segoe UI"/>
          <w:color w:val="000000"/>
          <w:szCs w:val="24"/>
          <w:lang w:eastAsia="es-CO"/>
        </w:rPr>
        <w:t>click</w:t>
      </w:r>
      <w:proofErr w:type="spellEnd"/>
      <w:r w:rsidRPr="00CC0F5F">
        <w:rPr>
          <w:rFonts w:ascii="Segoe UI" w:eastAsia="Times New Roman" w:hAnsi="Segoe UI" w:cs="Segoe UI"/>
          <w:color w:val="000000"/>
          <w:szCs w:val="24"/>
          <w:lang w:eastAsia="es-CO"/>
        </w:rPr>
        <w:t xml:space="preserve"> en el link “Doctrina Dirección de Gestión Jurídica”.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Atentamente,</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 </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b/>
          <w:bCs/>
          <w:color w:val="000000"/>
          <w:szCs w:val="24"/>
          <w:lang w:eastAsia="es-CO"/>
        </w:rPr>
        <w:t>PABLO EMILIO MENDOZA VELILLA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Subdirector de Gestión Normativa y Doctrina</w:t>
      </w:r>
    </w:p>
    <w:p w:rsidR="00CC0F5F" w:rsidRPr="00CC0F5F" w:rsidRDefault="00CC0F5F" w:rsidP="00CC0F5F">
      <w:pPr>
        <w:rPr>
          <w:rFonts w:ascii="Arial" w:eastAsia="Times New Roman" w:hAnsi="Arial" w:cs="Arial"/>
          <w:color w:val="000000"/>
          <w:szCs w:val="24"/>
          <w:lang w:eastAsia="es-CO"/>
        </w:rPr>
      </w:pPr>
      <w:r w:rsidRPr="00CC0F5F">
        <w:rPr>
          <w:rFonts w:ascii="Segoe UI" w:eastAsia="Times New Roman" w:hAnsi="Segoe UI" w:cs="Segoe UI"/>
          <w:color w:val="000000"/>
          <w:szCs w:val="24"/>
          <w:lang w:eastAsia="es-CO"/>
        </w:rPr>
        <w:t>Dirección de Gestión Jurídica</w:t>
      </w:r>
    </w:p>
    <w:p w:rsidR="00CC0F5F" w:rsidRPr="00CC0F5F" w:rsidRDefault="00CC0F5F" w:rsidP="00CC0F5F">
      <w:pPr>
        <w:rPr>
          <w:rFonts w:ascii="Arial" w:eastAsia="Times New Roman" w:hAnsi="Arial" w:cs="Arial"/>
          <w:color w:val="000000"/>
          <w:szCs w:val="24"/>
          <w:lang w:eastAsia="es-CO"/>
        </w:rPr>
      </w:pPr>
      <w:proofErr w:type="spellStart"/>
      <w:r w:rsidRPr="00CC0F5F">
        <w:rPr>
          <w:rFonts w:ascii="Segoe UI" w:eastAsia="Times New Roman" w:hAnsi="Segoe UI" w:cs="Segoe UI"/>
          <w:color w:val="000000"/>
          <w:szCs w:val="24"/>
          <w:lang w:eastAsia="es-CO"/>
        </w:rPr>
        <w:t>UAE</w:t>
      </w:r>
      <w:proofErr w:type="spellEnd"/>
      <w:r w:rsidRPr="00CC0F5F">
        <w:rPr>
          <w:rFonts w:ascii="Segoe UI" w:eastAsia="Times New Roman" w:hAnsi="Segoe UI" w:cs="Segoe UI"/>
          <w:color w:val="000000"/>
          <w:szCs w:val="24"/>
          <w:lang w:eastAsia="es-CO"/>
        </w:rPr>
        <w:t>-DIAN</w:t>
      </w:r>
    </w:p>
    <w:p w:rsidR="00F13F2B" w:rsidRDefault="00F13F2B"/>
    <w:sectPr w:rsidR="00F13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F"/>
    <w:rsid w:val="00053D05"/>
    <w:rsid w:val="00403B30"/>
    <w:rsid w:val="00B32C5D"/>
    <w:rsid w:val="00B416B4"/>
    <w:rsid w:val="00CC0F5F"/>
    <w:rsid w:val="00F13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175A"/>
  <w15:chartTrackingRefBased/>
  <w15:docId w15:val="{E951D8BE-AADF-437F-A30B-67166077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5D"/>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403B30"/>
    <w:pPr>
      <w:ind w:left="1134"/>
    </w:pPr>
    <w:rPr>
      <w:sz w:val="22"/>
      <w:szCs w:val="20"/>
      <w:lang w:val="es-ES"/>
    </w:rPr>
  </w:style>
  <w:style w:type="character" w:customStyle="1" w:styleId="CitaCar">
    <w:name w:val="Cita Car"/>
    <w:basedOn w:val="Fuentedeprrafopredeter"/>
    <w:link w:val="Cita"/>
    <w:uiPriority w:val="29"/>
    <w:rsid w:val="00403B30"/>
    <w:rPr>
      <w:szCs w:val="20"/>
      <w:lang w:val="es-ES"/>
    </w:rPr>
  </w:style>
  <w:style w:type="character" w:styleId="Hipervnculo">
    <w:name w:val="Hyperlink"/>
    <w:basedOn w:val="Fuentedeprrafopredeter"/>
    <w:uiPriority w:val="99"/>
    <w:semiHidden/>
    <w:unhideWhenUsed/>
    <w:rsid w:val="00CC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26" TargetMode="External"/><Relationship Id="rId13" Type="http://schemas.openxmlformats.org/officeDocument/2006/relationships/hyperlink" Target="https://www.ceta.org.co/html/vista_de_un_articulo.asp?Norma=42526" TargetMode="External"/><Relationship Id="rId18" Type="http://schemas.openxmlformats.org/officeDocument/2006/relationships/hyperlink" Target="https://www.ceta.org.co/html/vista_de_un_articulo.asp?Norma=60481" TargetMode="External"/><Relationship Id="rId26" Type="http://schemas.openxmlformats.org/officeDocument/2006/relationships/hyperlink" Target="https://www.ceta.org.co/html/vista_de_un_articulo.asp?Norma=4252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316" TargetMode="External"/><Relationship Id="rId7" Type="http://schemas.openxmlformats.org/officeDocument/2006/relationships/hyperlink" Target="https://www.ceta.org.co/html/vista_de_un_articulo.asp?Norma=759" TargetMode="External"/><Relationship Id="rId12" Type="http://schemas.openxmlformats.org/officeDocument/2006/relationships/hyperlink" Target="https://www.ceta.org.co/html/vista_de_un_articulo.asp?Norma=42519" TargetMode="External"/><Relationship Id="rId17" Type="http://schemas.openxmlformats.org/officeDocument/2006/relationships/hyperlink" Target="https://www.ceta.org.co/html/vista_de_un_articulo.asp?Norma=42526" TargetMode="External"/><Relationship Id="rId25" Type="http://schemas.openxmlformats.org/officeDocument/2006/relationships/hyperlink" Target="https://www.ceta.org.co/html/vista_de_un_articulo.asp?Norma=42518" TargetMode="External"/><Relationship Id="rId2" Type="http://schemas.openxmlformats.org/officeDocument/2006/relationships/settings" Target="settings.xml"/><Relationship Id="rId16" Type="http://schemas.openxmlformats.org/officeDocument/2006/relationships/hyperlink" Target="https://www.ceta.org.co/html/vista_de_un_articulo.asp?Norma=957" TargetMode="External"/><Relationship Id="rId20" Type="http://schemas.openxmlformats.org/officeDocument/2006/relationships/hyperlink" Target="https://www.ceta.org.co/html/vista_de_un_articulo.asp?Norma=6048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9970" TargetMode="External"/><Relationship Id="rId11" Type="http://schemas.openxmlformats.org/officeDocument/2006/relationships/hyperlink" Target="https://www.ceta.org.co/html/vista_de_un_articulo.asp?Norma=42519" TargetMode="External"/><Relationship Id="rId24" Type="http://schemas.openxmlformats.org/officeDocument/2006/relationships/hyperlink" Target="https://www.ceta.org.co/html/vista_de_un_articulo.asp?Norma=42515" TargetMode="External"/><Relationship Id="rId5" Type="http://schemas.openxmlformats.org/officeDocument/2006/relationships/hyperlink" Target="https://www.ceta.org.co/html/vista_de_un_articulo.asp?Norma=548" TargetMode="External"/><Relationship Id="rId15" Type="http://schemas.openxmlformats.org/officeDocument/2006/relationships/hyperlink" Target="https://www.ceta.org.co/html/vista_de_un_articulo.asp?Norma=614" TargetMode="External"/><Relationship Id="rId23" Type="http://schemas.openxmlformats.org/officeDocument/2006/relationships/hyperlink" Target="https://www.ceta.org.co/html/vista_de_un_articulo.asp?Norma=42516" TargetMode="External"/><Relationship Id="rId28" Type="http://schemas.openxmlformats.org/officeDocument/2006/relationships/fontTable" Target="fontTable.xml"/><Relationship Id="rId10" Type="http://schemas.openxmlformats.org/officeDocument/2006/relationships/hyperlink" Target="https://www.ceta.org.co/html/vista_de_un_articulo.asp?Norma=548" TargetMode="External"/><Relationship Id="rId19" Type="http://schemas.openxmlformats.org/officeDocument/2006/relationships/hyperlink" Target="https://www.ceta.org.co/html/vista_de_un_articulo.asp?Norma=316" TargetMode="External"/><Relationship Id="rId4" Type="http://schemas.openxmlformats.org/officeDocument/2006/relationships/hyperlink" Target="https://www.ceta.org.co/html/vista_de_un_articulo.asp?Norma=42514" TargetMode="External"/><Relationship Id="rId9" Type="http://schemas.openxmlformats.org/officeDocument/2006/relationships/hyperlink" Target="https://www.ceta.org.co/html/vista_de_un_articulo.asp?Norma=42519" TargetMode="External"/><Relationship Id="rId14" Type="http://schemas.openxmlformats.org/officeDocument/2006/relationships/hyperlink" Target="https://www.ceta.org.co/html/vista_de_un_articulo.asp?Norma=12013" TargetMode="External"/><Relationship Id="rId22" Type="http://schemas.openxmlformats.org/officeDocument/2006/relationships/hyperlink" Target="https://www.ceta.org.co/html/vista_de_un_articulo.asp?Norma=42516" TargetMode="External"/><Relationship Id="rId27"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2089</Words>
  <Characters>11493</Characters>
  <Application>Microsoft Office Word</Application>
  <DocSecurity>0</DocSecurity>
  <Lines>95</Lines>
  <Paragraphs>27</Paragraphs>
  <ScaleCrop>false</ScaleCrop>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4</cp:revision>
  <dcterms:created xsi:type="dcterms:W3CDTF">2020-09-17T20:21:00Z</dcterms:created>
  <dcterms:modified xsi:type="dcterms:W3CDTF">2020-09-17T20:46:00Z</dcterms:modified>
</cp:coreProperties>
</file>