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1928" w14:textId="4BB9F145" w:rsidR="005B057B" w:rsidRPr="005B057B" w:rsidRDefault="005B057B" w:rsidP="005B057B">
      <w:pPr>
        <w:pStyle w:val="Sinespaciado"/>
        <w:jc w:val="both"/>
        <w:rPr>
          <w:rStyle w:val="Cuerpodeltexto241"/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5B057B">
        <w:rPr>
          <w:rStyle w:val="Cuerpodeltexto241"/>
          <w:rFonts w:ascii="Verdana" w:hAnsi="Verdana"/>
          <w:b/>
          <w:bCs/>
          <w:sz w:val="24"/>
          <w:szCs w:val="24"/>
        </w:rPr>
        <w:t>CONCEPTO 1207 DEL 30 DE SEPTIEMBRE DE 2020</w:t>
      </w:r>
    </w:p>
    <w:p w14:paraId="3769C506" w14:textId="30AE62DC" w:rsidR="005B057B" w:rsidRPr="005B057B" w:rsidRDefault="005B057B" w:rsidP="005B057B">
      <w:pPr>
        <w:pStyle w:val="Sinespaciado"/>
        <w:jc w:val="both"/>
        <w:rPr>
          <w:rStyle w:val="Cuerpodeltexto241"/>
          <w:rFonts w:ascii="Verdana" w:hAnsi="Verdana"/>
          <w:b/>
          <w:bCs/>
          <w:sz w:val="24"/>
          <w:szCs w:val="24"/>
        </w:rPr>
      </w:pPr>
      <w:r w:rsidRPr="005B057B">
        <w:rPr>
          <w:rStyle w:val="Cuerpodeltexto241"/>
          <w:rFonts w:ascii="Verdana" w:hAnsi="Verdana"/>
          <w:b/>
          <w:bCs/>
          <w:sz w:val="24"/>
          <w:szCs w:val="24"/>
        </w:rPr>
        <w:t>DIRECCIÓN DE IMPUSTOS Y ADUANAS NACIONALES</w:t>
      </w:r>
    </w:p>
    <w:p w14:paraId="28ABD548" w14:textId="2D136984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5CC3AD64" w14:textId="4F98D9C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  <w:r>
        <w:rPr>
          <w:rStyle w:val="Cuerpodeltexto241"/>
          <w:rFonts w:ascii="Verdana" w:hAnsi="Verdana"/>
          <w:sz w:val="24"/>
          <w:szCs w:val="24"/>
        </w:rPr>
        <w:t>Bogotá, D.C.</w:t>
      </w:r>
    </w:p>
    <w:p w14:paraId="0E90D8AC" w14:textId="039E383E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67E04FC7" w14:textId="45F661A2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  <w:r w:rsidRPr="005B057B">
        <w:rPr>
          <w:rStyle w:val="Cuerpodeltexto241"/>
          <w:rFonts w:ascii="Verdana" w:hAnsi="Verdana"/>
          <w:b/>
          <w:bCs/>
          <w:sz w:val="24"/>
          <w:szCs w:val="24"/>
        </w:rPr>
        <w:t>Tema</w:t>
      </w:r>
      <w:r>
        <w:rPr>
          <w:rStyle w:val="Cuerpodeltexto241"/>
          <w:rFonts w:ascii="Verdana" w:hAnsi="Verdana"/>
          <w:b/>
          <w:bCs/>
          <w:sz w:val="24"/>
          <w:szCs w:val="24"/>
        </w:rPr>
        <w:tab/>
      </w:r>
      <w:r>
        <w:rPr>
          <w:rStyle w:val="Cuerpodeltexto241"/>
          <w:rFonts w:ascii="Verdana" w:hAnsi="Verdana"/>
          <w:b/>
          <w:bCs/>
          <w:sz w:val="24"/>
          <w:szCs w:val="24"/>
        </w:rPr>
        <w:tab/>
      </w:r>
      <w:r>
        <w:rPr>
          <w:rStyle w:val="Cuerpodeltexto241"/>
          <w:rFonts w:ascii="Verdana" w:hAnsi="Verdana"/>
          <w:b/>
          <w:bCs/>
          <w:sz w:val="24"/>
          <w:szCs w:val="24"/>
        </w:rPr>
        <w:tab/>
      </w:r>
      <w:r w:rsidRPr="005B057B">
        <w:rPr>
          <w:rStyle w:val="Cuerpodeltexto241"/>
          <w:rFonts w:ascii="Verdana" w:hAnsi="Verdana"/>
          <w:sz w:val="24"/>
          <w:szCs w:val="24"/>
        </w:rPr>
        <w:t>Procedimiento General</w:t>
      </w:r>
    </w:p>
    <w:p w14:paraId="348AF0B5" w14:textId="3E769C1D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b/>
          <w:bCs/>
          <w:sz w:val="24"/>
          <w:szCs w:val="24"/>
        </w:rPr>
        <w:t>Descriptor</w:t>
      </w:r>
      <w:r>
        <w:rPr>
          <w:rStyle w:val="Cuerpodeltexto241"/>
          <w:rFonts w:ascii="Verdana" w:hAnsi="Verdana"/>
          <w:b/>
          <w:bCs/>
          <w:sz w:val="24"/>
          <w:szCs w:val="24"/>
        </w:rPr>
        <w:tab/>
      </w:r>
      <w:r>
        <w:rPr>
          <w:rStyle w:val="Cuerpodeltexto241"/>
          <w:rFonts w:ascii="Verdana" w:hAnsi="Verdana"/>
          <w:b/>
          <w:bCs/>
          <w:sz w:val="24"/>
          <w:szCs w:val="24"/>
        </w:rPr>
        <w:tab/>
      </w:r>
      <w:r>
        <w:rPr>
          <w:rStyle w:val="Cuerpodeltexto241"/>
          <w:rFonts w:ascii="Verdana" w:hAnsi="Verdana"/>
          <w:b/>
          <w:bCs/>
          <w:sz w:val="24"/>
          <w:szCs w:val="24"/>
        </w:rPr>
        <w:tab/>
      </w:r>
      <w:r w:rsidRPr="005B057B">
        <w:rPr>
          <w:rStyle w:val="Cuerpodeltexto241"/>
          <w:rFonts w:ascii="Verdana" w:hAnsi="Verdana"/>
          <w:sz w:val="24"/>
          <w:szCs w:val="24"/>
        </w:rPr>
        <w:t>Suspensión de términos</w:t>
      </w:r>
    </w:p>
    <w:p w14:paraId="51412ED6" w14:textId="7CE7E7FE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b/>
          <w:bCs/>
          <w:sz w:val="24"/>
          <w:szCs w:val="24"/>
        </w:rPr>
        <w:t>Fuentes formales</w:t>
      </w:r>
      <w:r>
        <w:rPr>
          <w:rStyle w:val="Cuerpodeltexto241"/>
          <w:rFonts w:ascii="Verdana" w:hAnsi="Verdana"/>
          <w:b/>
          <w:bCs/>
          <w:sz w:val="24"/>
          <w:szCs w:val="24"/>
        </w:rPr>
        <w:tab/>
      </w:r>
      <w:r w:rsidRPr="005B057B">
        <w:rPr>
          <w:rStyle w:val="Cuerpodeltexto241"/>
          <w:rFonts w:ascii="Verdana" w:hAnsi="Verdana"/>
          <w:sz w:val="24"/>
          <w:szCs w:val="24"/>
        </w:rPr>
        <w:t>Decreto Legislativo 491 de</w:t>
      </w:r>
      <w:r w:rsidRPr="005B057B">
        <w:rPr>
          <w:rStyle w:val="Cuerpodeltexto241"/>
          <w:rFonts w:ascii="Verdana" w:hAnsi="Verdana"/>
          <w:sz w:val="24"/>
          <w:szCs w:val="24"/>
        </w:rPr>
        <w:tab/>
        <w:t>2020</w:t>
      </w:r>
    </w:p>
    <w:p w14:paraId="4CAEB4D6" w14:textId="77777777" w:rsidR="00C81A54" w:rsidRPr="005B057B" w:rsidRDefault="005B057B" w:rsidP="005B057B">
      <w:pPr>
        <w:pStyle w:val="Sinespaciado"/>
        <w:ind w:left="2124" w:firstLine="708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Resolución 022 de 2020</w:t>
      </w:r>
    </w:p>
    <w:p w14:paraId="655C6190" w14:textId="77777777" w:rsidR="00C81A54" w:rsidRPr="005B057B" w:rsidRDefault="005B057B" w:rsidP="005B057B">
      <w:pPr>
        <w:pStyle w:val="Sinespaciado"/>
        <w:ind w:left="2124" w:firstLine="708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Resolución 030 de 2020 y sus modificaciones</w:t>
      </w:r>
    </w:p>
    <w:p w14:paraId="2417B9C4" w14:textId="77777777" w:rsidR="00C81A54" w:rsidRPr="005B057B" w:rsidRDefault="005B057B" w:rsidP="005B057B">
      <w:pPr>
        <w:pStyle w:val="Sinespaciado"/>
        <w:ind w:left="2124" w:firstLine="708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Resolución 055 de 2020 y sus modificaciones</w:t>
      </w:r>
    </w:p>
    <w:p w14:paraId="3296FE77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3D3E4F9F" w14:textId="67BC019E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Cordial saludo,</w:t>
      </w:r>
    </w:p>
    <w:p w14:paraId="33968F80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1A81622D" w14:textId="65ACDC91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115FA2A6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70A022E6" w14:textId="320BFFC3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Mediante el radicado de la referencia, el peticionario consulta acerca de la suspensión de términos decretada por la DIAN en el marco del estado de emergencia económico, social y ecológica por el COVID-19, preguntando en primer lugar sobre la definición de proceso tributario y actuación administrativa en materia tributaria.</w:t>
      </w:r>
    </w:p>
    <w:p w14:paraId="2C109844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4A67C77E" w14:textId="1CEF86BC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Posteriormente, el consultante pregunta por la diferencia entre los términos de caducidad, prescripción y firmeza en materia tributaria.</w:t>
      </w:r>
    </w:p>
    <w:p w14:paraId="1ABAF408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0A5D0305" w14:textId="13AE2480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Para finalizar, se plantean interrogantes referidos a la aplicación de la suspensión de términos en diferentes procedimientos y actuaciones administrativas como la presentación de correcciones, solicitud de devoluciones y/o compensaciones, y aplicación de diferentes sanciones, entre otros.</w:t>
      </w:r>
    </w:p>
    <w:p w14:paraId="0E987F02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79AFCC63" w14:textId="2BD8D635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Para empezar, respecto a la definición de proceso tributario y actuación administrativa en materia tributaria se deben atender las disposiciones correspondientes en la legislación fiscal</w:t>
      </w:r>
      <w:r>
        <w:rPr>
          <w:rStyle w:val="Cuerpodeltexto241"/>
          <w:rFonts w:ascii="Verdana" w:hAnsi="Verdana"/>
          <w:sz w:val="24"/>
          <w:szCs w:val="24"/>
        </w:rPr>
        <w:t xml:space="preserve"> </w:t>
      </w:r>
      <w:r w:rsidRPr="005B057B">
        <w:rPr>
          <w:rStyle w:val="Cuerpodeltexto241"/>
          <w:rFonts w:ascii="Verdana" w:hAnsi="Verdana"/>
          <w:sz w:val="24"/>
          <w:szCs w:val="24"/>
        </w:rPr>
        <w:t xml:space="preserve">de Colombia y, especialmente, aquellas consagradas en el Estatuto Tributario, incluyendo las normas que </w:t>
      </w:r>
      <w:r w:rsidRPr="005B057B">
        <w:rPr>
          <w:rStyle w:val="Cuerpodeltexto241"/>
          <w:rFonts w:ascii="Verdana" w:hAnsi="Verdana"/>
          <w:sz w:val="24"/>
          <w:szCs w:val="24"/>
        </w:rPr>
        <w:lastRenderedPageBreak/>
        <w:t>prevén los términos de los procesos tributarios como conjuntos de actos independientes pero relacionados, así como las distintas etapas de los procesos administrativos tributarios que culminan con decisiones.</w:t>
      </w:r>
    </w:p>
    <w:p w14:paraId="32B6A9A5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6840FAEE" w14:textId="389E79E2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Ahora, acerca de los conceptos jurídicos de caducidad, firmeza y prescripción estos obedecen a instituciones de derecho general, las cuales para efectos de la consulta se deben interpretar de conformidad con las disposiciones en la legislación tributaria que consagren dichos términos, y aquellas del Código de Procedimiento Administrativo y de lo Contencioso Administrativo y demás normas aplicables, cuando procedan.</w:t>
      </w:r>
    </w:p>
    <w:p w14:paraId="4DA50FE8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1FE77E2A" w14:textId="13AA60E4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 xml:space="preserve">De otro lado, respecto a la aplicación de la suspensión de los términos en las distintas actuaciones y procedimientos adminisitrativos </w:t>
      </w:r>
      <w:r>
        <w:rPr>
          <w:rStyle w:val="Cuerpodeltexto241"/>
          <w:rFonts w:ascii="Verdana" w:hAnsi="Verdana"/>
          <w:sz w:val="24"/>
          <w:szCs w:val="24"/>
        </w:rPr>
        <w:t xml:space="preserve">(sic) </w:t>
      </w:r>
      <w:r w:rsidRPr="005B057B">
        <w:rPr>
          <w:rStyle w:val="Cuerpodeltexto241"/>
          <w:rFonts w:ascii="Verdana" w:hAnsi="Verdana"/>
          <w:sz w:val="24"/>
          <w:szCs w:val="24"/>
        </w:rPr>
        <w:t>a cargo de esta entidad, inclusive en materia sancionatoria, se debe atender a las disposiciones consagradas en las resoluciones 22, 30 (y sus modificaciones) y 55 (y sus modificaciones) sobre las cuales este Despacho se ha pronunciado previamente mediante conceptos tales como los Nos. 100208221-720 de 2020, 100208221-739 de 2020 y el Concepto 100208221-1118 de 2020, los que anexamos para su revisión y con los que se da respuesta a las inquietudes planteadas.</w:t>
      </w:r>
    </w:p>
    <w:p w14:paraId="48FDB06A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0EDFD4D9" w14:textId="0A53B970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Por último, y respecto a los procesos de devoluciones y/o compensaciones, la Dirección de Gestión Jurídica se pronunció a través del Concepto 100202208- 0534 del 24 de septiembre de 2020 el cual se adjunta para mayor conocimiento.</w:t>
      </w:r>
    </w:p>
    <w:p w14:paraId="226685F2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3BF5362A" w14:textId="512D3352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 xml:space="preserve">En los anteriores términos se resuelve su solicitud, y finalmente le manifestamos que la Dirección de Impuestos y Aduanas Nacionales-DIAN-, con el fin de facilitar a los contribuyentes, usuarios y público en general el acceso directo a sus pronunciamientos doctrinarios, ha publicado en su página de internet </w:t>
      </w:r>
      <w:r w:rsidRPr="005B057B">
        <w:rPr>
          <w:rStyle w:val="Cuerpodeltexto241"/>
          <w:rFonts w:ascii="Verdana" w:eastAsia="Microsoft Sans Serif" w:hAnsi="Verdana" w:cs="Microsoft Sans Serif"/>
          <w:sz w:val="24"/>
          <w:szCs w:val="24"/>
          <w:lang w:val="en-US" w:eastAsia="en-US" w:bidi="en-US"/>
        </w:rPr>
        <w:t>www.dian.gov.co</w:t>
      </w:r>
      <w:r w:rsidRPr="005B057B">
        <w:rPr>
          <w:rStyle w:val="Cuerpodeltexto241"/>
          <w:rFonts w:ascii="Verdana" w:hAnsi="Verdana"/>
          <w:sz w:val="24"/>
          <w:szCs w:val="24"/>
          <w:lang w:val="en-US" w:eastAsia="en-US" w:bidi="en-US"/>
        </w:rPr>
        <w:t xml:space="preserve">, </w:t>
      </w:r>
      <w:r w:rsidRPr="005B057B">
        <w:rPr>
          <w:rStyle w:val="Cuerpodeltexto241"/>
          <w:rFonts w:ascii="Verdana" w:hAnsi="Verdana"/>
          <w:sz w:val="24"/>
          <w:szCs w:val="24"/>
        </w:rPr>
        <w:t>la base de conceptos en materia tributaria, aduanera y cambiaria expedidos desde el año 2001, la cual se puede ingresar por el ícono de “Normatividad” -</w:t>
      </w:r>
      <w:r>
        <w:rPr>
          <w:rStyle w:val="Cuerpodeltexto241"/>
          <w:rFonts w:ascii="Verdana" w:hAnsi="Verdana"/>
          <w:sz w:val="24"/>
          <w:szCs w:val="24"/>
        </w:rPr>
        <w:t xml:space="preserve"> </w:t>
      </w:r>
      <w:r w:rsidRPr="005B057B">
        <w:rPr>
          <w:rStyle w:val="Cuerpodeltexto241"/>
          <w:rFonts w:ascii="Verdana" w:hAnsi="Verdana"/>
          <w:sz w:val="24"/>
          <w:szCs w:val="24"/>
        </w:rPr>
        <w:t>“técnica”-, dando click en el link “Doctrina Dirección de Gestión Jurídica”.</w:t>
      </w:r>
    </w:p>
    <w:p w14:paraId="7EE133D2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00CEEAB3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492BBEFA" w14:textId="208DF3CE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Atentamente,</w:t>
      </w:r>
    </w:p>
    <w:p w14:paraId="581F52BA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05144713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2E7DE34A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</w:p>
    <w:p w14:paraId="1582464C" w14:textId="77777777" w:rsidR="005B057B" w:rsidRPr="005B057B" w:rsidRDefault="005B057B" w:rsidP="005B057B">
      <w:pPr>
        <w:pStyle w:val="Sinespaciado"/>
        <w:jc w:val="both"/>
        <w:rPr>
          <w:rStyle w:val="Cuerpodeltexto241"/>
          <w:rFonts w:ascii="Verdana" w:hAnsi="Verdana"/>
          <w:b/>
          <w:bCs/>
          <w:sz w:val="24"/>
          <w:szCs w:val="24"/>
        </w:rPr>
      </w:pPr>
      <w:r w:rsidRPr="005B057B">
        <w:rPr>
          <w:rStyle w:val="Cuerpodeltexto241"/>
          <w:rFonts w:ascii="Verdana" w:hAnsi="Verdana"/>
          <w:b/>
          <w:bCs/>
          <w:sz w:val="24"/>
          <w:szCs w:val="24"/>
        </w:rPr>
        <w:t>PABLO EMILIO MENDOZA VELILLA</w:t>
      </w:r>
    </w:p>
    <w:p w14:paraId="70310EEE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Subdirector de Gestión Normativa y Doctrina</w:t>
      </w:r>
    </w:p>
    <w:p w14:paraId="7F1E0BF2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  <w:r w:rsidRPr="005B057B">
        <w:rPr>
          <w:rStyle w:val="Cuerpodeltexto241"/>
          <w:rFonts w:ascii="Verdana" w:hAnsi="Verdana"/>
          <w:sz w:val="24"/>
          <w:szCs w:val="24"/>
        </w:rPr>
        <w:lastRenderedPageBreak/>
        <w:t>Dirección de Gestión Jurídica</w:t>
      </w:r>
    </w:p>
    <w:p w14:paraId="217C1B5F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UAE-Dirección de Impuestos y Aduanas Nacionales</w:t>
      </w:r>
    </w:p>
    <w:p w14:paraId="70F1A795" w14:textId="77777777" w:rsidR="005B057B" w:rsidRDefault="005B057B" w:rsidP="005B057B">
      <w:pPr>
        <w:pStyle w:val="Sinespaciado"/>
        <w:jc w:val="both"/>
        <w:rPr>
          <w:rStyle w:val="Cuerpodeltexto241"/>
          <w:rFonts w:ascii="Verdana" w:hAnsi="Verdana"/>
          <w:sz w:val="24"/>
          <w:szCs w:val="24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Cra. 8 N° 6C-38 Piso 4, Edificio San Agustín</w:t>
      </w:r>
    </w:p>
    <w:p w14:paraId="2E4A4EDE" w14:textId="03F534A7" w:rsidR="00C81A54" w:rsidRPr="005B057B" w:rsidRDefault="005B057B" w:rsidP="005B057B">
      <w:pPr>
        <w:pStyle w:val="Sinespaciado"/>
        <w:jc w:val="both"/>
        <w:rPr>
          <w:rFonts w:ascii="Verdana" w:hAnsi="Verdana"/>
        </w:rPr>
      </w:pPr>
      <w:r w:rsidRPr="005B057B">
        <w:rPr>
          <w:rStyle w:val="Cuerpodeltexto241"/>
          <w:rFonts w:ascii="Verdana" w:hAnsi="Verdana"/>
          <w:sz w:val="24"/>
          <w:szCs w:val="24"/>
        </w:rPr>
        <w:t>Bogotá D.C.</w:t>
      </w:r>
    </w:p>
    <w:p w14:paraId="628E2725" w14:textId="77777777" w:rsidR="005B057B" w:rsidRDefault="005B057B" w:rsidP="005B057B">
      <w:pPr>
        <w:pStyle w:val="Sinespaciado"/>
        <w:jc w:val="both"/>
        <w:rPr>
          <w:rFonts w:ascii="Verdana" w:hAnsi="Verdana"/>
        </w:rPr>
      </w:pPr>
    </w:p>
    <w:p w14:paraId="38A957F0" w14:textId="01B6F2D3" w:rsidR="00C81A54" w:rsidRPr="005B057B" w:rsidRDefault="005B057B" w:rsidP="005B057B">
      <w:pPr>
        <w:pStyle w:val="Sinespaciado"/>
        <w:jc w:val="both"/>
        <w:rPr>
          <w:rFonts w:ascii="Verdana" w:hAnsi="Verdana"/>
          <w:sz w:val="20"/>
          <w:szCs w:val="20"/>
        </w:rPr>
      </w:pPr>
      <w:r w:rsidRPr="005B057B">
        <w:rPr>
          <w:rFonts w:ascii="Verdana" w:hAnsi="Verdana"/>
          <w:sz w:val="20"/>
          <w:szCs w:val="20"/>
        </w:rPr>
        <w:t>Anexo: Oficios Nos. 100208221-720, 100208221-739 de 2020 y 100208221-1118 Oficio No. 100202208- 0534 de 2020 de la Dirección de Gestión Jurídica</w:t>
      </w:r>
    </w:p>
    <w:sectPr w:rsidR="00C81A54" w:rsidRPr="005B057B" w:rsidSect="005B057B"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20E8" w14:textId="77777777" w:rsidR="0080491C" w:rsidRDefault="0080491C">
      <w:r>
        <w:separator/>
      </w:r>
    </w:p>
  </w:endnote>
  <w:endnote w:type="continuationSeparator" w:id="0">
    <w:p w14:paraId="21F2983E" w14:textId="77777777" w:rsidR="0080491C" w:rsidRDefault="0080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AE6E" w14:textId="77777777" w:rsidR="0080491C" w:rsidRDefault="0080491C"/>
  </w:footnote>
  <w:footnote w:type="continuationSeparator" w:id="0">
    <w:p w14:paraId="4F7C50D5" w14:textId="77777777" w:rsidR="0080491C" w:rsidRDefault="008049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54"/>
    <w:rsid w:val="005B057B"/>
    <w:rsid w:val="0080491C"/>
    <w:rsid w:val="009D39BD"/>
    <w:rsid w:val="00A32644"/>
    <w:rsid w:val="00C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DDBDBC"/>
  <w15:docId w15:val="{60EC5199-0164-4AE1-9F59-77CA43B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4">
    <w:name w:val="Cuerpo del texto (24)_"/>
    <w:basedOn w:val="Fuentedeprrafopredeter"/>
    <w:link w:val="Cuerpodeltexto2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241">
    <w:name w:val="Cuerpo del texto (24)"/>
    <w:basedOn w:val="Cuerpodeltexto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10pto">
    <w:name w:val="Cuerpo del texto (2) + 10 pto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Cuerpodeltexto240">
    <w:name w:val="Cuerpo del texto (24)"/>
    <w:basedOn w:val="Normal"/>
    <w:link w:val="Cuerpodeltexto24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35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420" w:line="0" w:lineRule="atLeast"/>
      <w:ind w:hanging="640"/>
    </w:pPr>
    <w:rPr>
      <w:rFonts w:ascii="Arial" w:eastAsia="Arial" w:hAnsi="Arial" w:cs="Arial"/>
      <w:sz w:val="17"/>
      <w:szCs w:val="17"/>
    </w:rPr>
  </w:style>
  <w:style w:type="paragraph" w:styleId="Sinespaciado">
    <w:name w:val="No Spacing"/>
    <w:uiPriority w:val="1"/>
    <w:qFormat/>
    <w:rsid w:val="005B057B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5B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57B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B05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RMARTINQ</dc:creator>
  <cp:keywords/>
  <cp:lastModifiedBy>Microsoft Office User</cp:lastModifiedBy>
  <cp:revision>2</cp:revision>
  <dcterms:created xsi:type="dcterms:W3CDTF">2020-11-09T21:54:00Z</dcterms:created>
  <dcterms:modified xsi:type="dcterms:W3CDTF">2020-11-09T21:54:00Z</dcterms:modified>
</cp:coreProperties>
</file>